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3E6D0" w14:textId="04EC67C6" w:rsidR="005D0BC4" w:rsidRPr="00E03367" w:rsidRDefault="00E03367">
      <w:pPr>
        <w:rPr>
          <w:rFonts w:ascii="Arial" w:eastAsiaTheme="majorEastAsia" w:hAnsi="Arial" w:cstheme="majorBidi"/>
          <w:b/>
          <w:bCs/>
          <w:color w:val="1F3864" w:themeColor="accent1" w:themeShade="80"/>
          <w:szCs w:val="32"/>
        </w:rPr>
      </w:pPr>
      <w:r w:rsidRPr="00E03367">
        <w:rPr>
          <w:rFonts w:ascii="Arial" w:eastAsiaTheme="majorEastAsia" w:hAnsi="Arial" w:cstheme="majorBidi"/>
          <w:b/>
          <w:bCs/>
          <w:color w:val="1F3864" w:themeColor="accent1" w:themeShade="80"/>
          <w:szCs w:val="32"/>
        </w:rPr>
        <w:t xml:space="preserve">Gravity model of trade </w:t>
      </w:r>
    </w:p>
    <w:p w14:paraId="3B835848" w14:textId="77777777" w:rsidR="00FC46BA" w:rsidRPr="00FC46BA" w:rsidRDefault="00FC46BA" w:rsidP="00FC46BA">
      <w:pPr>
        <w:rPr>
          <w:rFonts w:ascii="Segoe UI" w:hAnsi="Segoe UI" w:cs="Segoe UI"/>
          <w:sz w:val="21"/>
          <w:szCs w:val="21"/>
        </w:rPr>
      </w:pPr>
    </w:p>
    <w:p w14:paraId="4EBD092B" w14:textId="3EDB60E3" w:rsidR="00FC46BA" w:rsidRPr="00FC46BA" w:rsidRDefault="00FC46BA" w:rsidP="00FC46BA">
      <w:pPr>
        <w:rPr>
          <w:rFonts w:ascii="Segoe UI" w:hAnsi="Segoe UI" w:cs="Segoe UI"/>
          <w:sz w:val="21"/>
          <w:szCs w:val="21"/>
        </w:rPr>
      </w:pPr>
      <w:r w:rsidRPr="00FC46BA">
        <w:rPr>
          <w:rFonts w:ascii="Segoe UI" w:hAnsi="Segoe UI" w:cs="Segoe UI"/>
          <w:sz w:val="21"/>
          <w:szCs w:val="21"/>
        </w:rPr>
        <w:t xml:space="preserve">The gravity model was initially presented as an intuitive way of understanding trade flows. The intuitive findings of the gravity model show that </w:t>
      </w:r>
      <w:r w:rsidR="00284616">
        <w:rPr>
          <w:rFonts w:ascii="Segoe UI" w:hAnsi="Segoe UI" w:cs="Segoe UI"/>
          <w:sz w:val="21"/>
          <w:szCs w:val="21"/>
        </w:rPr>
        <w:t>b</w:t>
      </w:r>
      <w:bookmarkStart w:id="0" w:name="_GoBack"/>
      <w:bookmarkEnd w:id="0"/>
      <w:r w:rsidRPr="00FC46BA">
        <w:rPr>
          <w:rFonts w:ascii="Segoe UI" w:hAnsi="Segoe UI" w:cs="Segoe UI"/>
          <w:sz w:val="21"/>
          <w:szCs w:val="21"/>
        </w:rPr>
        <w:t>igger countries trade more, and that more distant countries trade less.</w:t>
      </w:r>
      <w:r>
        <w:rPr>
          <w:rFonts w:ascii="Segoe UI" w:hAnsi="Segoe UI" w:cs="Segoe UI"/>
          <w:sz w:val="21"/>
          <w:szCs w:val="21"/>
        </w:rPr>
        <w:t xml:space="preserve"> </w:t>
      </w:r>
      <w:r w:rsidRPr="00FC46BA">
        <w:rPr>
          <w:rFonts w:ascii="Segoe UI" w:hAnsi="Segoe UI" w:cs="Segoe UI"/>
          <w:sz w:val="21"/>
          <w:szCs w:val="21"/>
        </w:rPr>
        <w:t>These regularities are almost uniformly reflected in the early gravity literature, which applies the model to all regions of the world, covering both developed and developing economies, and various products and time periods</w:t>
      </w:r>
      <w:r>
        <w:rPr>
          <w:rFonts w:ascii="Segoe UI" w:hAnsi="Segoe UI" w:cs="Segoe UI"/>
          <w:sz w:val="21"/>
          <w:szCs w:val="21"/>
        </w:rPr>
        <w:t xml:space="preserve">. </w:t>
      </w:r>
      <w:r w:rsidRPr="00FC46BA">
        <w:rPr>
          <w:rFonts w:ascii="Segoe UI" w:hAnsi="Segoe UI" w:cs="Segoe UI"/>
          <w:sz w:val="21"/>
          <w:szCs w:val="21"/>
        </w:rPr>
        <w:t>The model is clearly a useful starting point in applied international trade research.</w:t>
      </w:r>
      <w:r>
        <w:rPr>
          <w:rFonts w:ascii="Segoe UI" w:hAnsi="Segoe UI" w:cs="Segoe UI"/>
          <w:sz w:val="21"/>
          <w:szCs w:val="21"/>
        </w:rPr>
        <w:t xml:space="preserve"> </w:t>
      </w:r>
    </w:p>
    <w:p w14:paraId="6E8F75A5" w14:textId="7835BC91" w:rsidR="00FC46BA" w:rsidRDefault="00FC46BA" w:rsidP="00FC46BA">
      <w:pPr>
        <w:shd w:val="clear" w:color="auto" w:fill="FFFFFF"/>
        <w:spacing w:line="300" w:lineRule="atLeast"/>
        <w:ind w:right="480"/>
        <w:rPr>
          <w:rFonts w:ascii="Segoe UI" w:hAnsi="Segoe UI" w:cs="Segoe UI"/>
          <w:sz w:val="21"/>
          <w:szCs w:val="21"/>
        </w:rPr>
      </w:pPr>
    </w:p>
    <w:p w14:paraId="408FF9B1" w14:textId="628F37AD" w:rsidR="00FC46BA" w:rsidRDefault="00FC46BA" w:rsidP="00FC46BA">
      <w:pPr>
        <w:rPr>
          <w:rFonts w:ascii="Segoe UI" w:hAnsi="Segoe UI" w:cs="Segoe UI"/>
          <w:sz w:val="21"/>
          <w:szCs w:val="21"/>
        </w:rPr>
      </w:pPr>
      <w:r>
        <w:rPr>
          <w:rFonts w:ascii="Segoe UI" w:hAnsi="Segoe UI" w:cs="Segoe UI"/>
          <w:sz w:val="21"/>
          <w:szCs w:val="21"/>
        </w:rPr>
        <w:t>Brexit</w:t>
      </w:r>
      <w:r w:rsidR="00A70C4D">
        <w:rPr>
          <w:rFonts w:ascii="Segoe UI" w:hAnsi="Segoe UI" w:cs="Segoe UI"/>
          <w:sz w:val="21"/>
          <w:szCs w:val="21"/>
        </w:rPr>
        <w:t xml:space="preserve"> instigated</w:t>
      </w:r>
      <w:r>
        <w:rPr>
          <w:rFonts w:ascii="Segoe UI" w:hAnsi="Segoe UI" w:cs="Segoe UI"/>
          <w:sz w:val="21"/>
          <w:szCs w:val="21"/>
        </w:rPr>
        <w:t xml:space="preserve"> </w:t>
      </w:r>
      <w:r w:rsidR="00A70C4D">
        <w:rPr>
          <w:rFonts w:ascii="Segoe UI" w:hAnsi="Segoe UI" w:cs="Segoe UI"/>
          <w:sz w:val="21"/>
          <w:szCs w:val="21"/>
        </w:rPr>
        <w:t>a</w:t>
      </w:r>
      <w:r>
        <w:rPr>
          <w:rFonts w:ascii="Segoe UI" w:hAnsi="Segoe UI" w:cs="Segoe UI"/>
          <w:sz w:val="21"/>
          <w:szCs w:val="21"/>
        </w:rPr>
        <w:t xml:space="preserve"> debate about the gravity model and the</w:t>
      </w:r>
      <w:r w:rsidR="00A70C4D">
        <w:rPr>
          <w:rFonts w:ascii="Segoe UI" w:hAnsi="Segoe UI" w:cs="Segoe UI"/>
          <w:sz w:val="21"/>
          <w:szCs w:val="21"/>
        </w:rPr>
        <w:t xml:space="preserve"> stated</w:t>
      </w:r>
      <w:r>
        <w:rPr>
          <w:rFonts w:ascii="Segoe UI" w:hAnsi="Segoe UI" w:cs="Segoe UI"/>
          <w:sz w:val="21"/>
          <w:szCs w:val="21"/>
        </w:rPr>
        <w:t xml:space="preserve"> benefits to trade with the EU. Since 2016 government departments and think tanks have made the case for and against EU membership using the gravity model</w:t>
      </w:r>
      <w:r w:rsidR="003A1BEF">
        <w:rPr>
          <w:rFonts w:ascii="Segoe UI" w:hAnsi="Segoe UI" w:cs="Segoe UI"/>
          <w:sz w:val="21"/>
          <w:szCs w:val="21"/>
        </w:rPr>
        <w:t xml:space="preserve">. </w:t>
      </w:r>
    </w:p>
    <w:p w14:paraId="12530431" w14:textId="77777777" w:rsidR="00FC46BA" w:rsidRPr="00FC46BA" w:rsidRDefault="00FC46BA" w:rsidP="00FC46BA">
      <w:pPr>
        <w:shd w:val="clear" w:color="auto" w:fill="FFFFFF"/>
        <w:spacing w:line="300" w:lineRule="atLeast"/>
        <w:ind w:right="480"/>
        <w:rPr>
          <w:rFonts w:ascii="Segoe UI" w:hAnsi="Segoe UI" w:cs="Segoe UI"/>
          <w:sz w:val="21"/>
          <w:szCs w:val="21"/>
        </w:rPr>
      </w:pPr>
    </w:p>
    <w:p w14:paraId="59DEC298" w14:textId="77777777" w:rsidR="00FC46BA" w:rsidRPr="003963D7" w:rsidRDefault="00FC46BA" w:rsidP="00FC46BA">
      <w:pPr>
        <w:rPr>
          <w:rFonts w:ascii="Arial" w:eastAsiaTheme="majorEastAsia" w:hAnsi="Arial" w:cstheme="majorBidi"/>
          <w:b/>
          <w:bCs/>
          <w:color w:val="1F3864" w:themeColor="accent1" w:themeShade="80"/>
          <w:szCs w:val="32"/>
        </w:rPr>
      </w:pPr>
      <w:r w:rsidRPr="003963D7">
        <w:rPr>
          <w:rFonts w:ascii="Arial" w:eastAsiaTheme="majorEastAsia" w:hAnsi="Arial" w:cstheme="majorBidi"/>
          <w:b/>
          <w:bCs/>
          <w:color w:val="1F3864" w:themeColor="accent1" w:themeShade="80"/>
          <w:szCs w:val="32"/>
        </w:rPr>
        <w:t xml:space="preserve">Topics covered </w:t>
      </w:r>
    </w:p>
    <w:p w14:paraId="6C931B4C" w14:textId="08DB51AD" w:rsidR="00FC46BA" w:rsidRDefault="00FC46BA" w:rsidP="00FC46BA">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Trade flows</w:t>
      </w:r>
    </w:p>
    <w:p w14:paraId="60D8FFE9" w14:textId="754FFABD" w:rsidR="00FC46BA" w:rsidRPr="00FC46BA" w:rsidRDefault="00FC46BA" w:rsidP="00FC46BA">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Brexit and free trade</w:t>
      </w:r>
    </w:p>
    <w:p w14:paraId="13C73F9E" w14:textId="77777777" w:rsidR="00FC46BA" w:rsidRDefault="00FC46BA" w:rsidP="00FC46BA">
      <w:pPr>
        <w:rPr>
          <w:rFonts w:ascii="Arial" w:eastAsiaTheme="majorEastAsia" w:hAnsi="Arial" w:cstheme="majorBidi"/>
          <w:b/>
          <w:bCs/>
          <w:color w:val="1F3864" w:themeColor="accent1" w:themeShade="80"/>
          <w:szCs w:val="32"/>
        </w:rPr>
      </w:pPr>
    </w:p>
    <w:p w14:paraId="628B1DD4" w14:textId="7FDE71F8" w:rsidR="00FC46BA" w:rsidRPr="00DF1838" w:rsidRDefault="00FC46BA" w:rsidP="00FC46BA">
      <w:pPr>
        <w:rPr>
          <w:rFonts w:ascii="Arial" w:eastAsiaTheme="majorEastAsia" w:hAnsi="Arial" w:cstheme="majorBidi"/>
          <w:b/>
          <w:bCs/>
          <w:color w:val="1F3864" w:themeColor="accent1" w:themeShade="80"/>
          <w:szCs w:val="32"/>
        </w:rPr>
      </w:pPr>
      <w:r w:rsidRPr="00DF1838">
        <w:rPr>
          <w:rFonts w:ascii="Arial" w:eastAsiaTheme="majorEastAsia" w:hAnsi="Arial" w:cstheme="majorBidi"/>
          <w:b/>
          <w:bCs/>
          <w:color w:val="1F3864" w:themeColor="accent1" w:themeShade="80"/>
          <w:szCs w:val="32"/>
        </w:rPr>
        <w:t xml:space="preserve">Data sets </w:t>
      </w:r>
    </w:p>
    <w:p w14:paraId="1ACB3B66" w14:textId="32799E96" w:rsidR="00FC46BA" w:rsidRPr="00FC46BA" w:rsidRDefault="00FC46BA" w:rsidP="00FC46BA">
      <w:pPr>
        <w:pStyle w:val="ListParagraph"/>
        <w:numPr>
          <w:ilvl w:val="0"/>
          <w:numId w:val="1"/>
        </w:numPr>
        <w:rPr>
          <w:rFonts w:ascii="Helvetica" w:hAnsi="Helvetica"/>
          <w:sz w:val="22"/>
          <w:szCs w:val="22"/>
        </w:rPr>
      </w:pPr>
      <w:r>
        <w:rPr>
          <w:rFonts w:ascii="Segoe UI" w:eastAsia="Times New Roman" w:hAnsi="Segoe UI" w:cs="Segoe UI"/>
          <w:sz w:val="21"/>
          <w:szCs w:val="21"/>
        </w:rPr>
        <w:t>Gravity model</w:t>
      </w:r>
      <w:r w:rsidR="00515EBB">
        <w:rPr>
          <w:rFonts w:ascii="Segoe UI" w:eastAsia="Times New Roman" w:hAnsi="Segoe UI" w:cs="Segoe UI"/>
          <w:sz w:val="21"/>
          <w:szCs w:val="21"/>
        </w:rPr>
        <w:t>, single year services data [</w:t>
      </w:r>
      <w:hyperlink r:id="rId5" w:history="1">
        <w:r w:rsidR="00515EBB" w:rsidRPr="00515EBB">
          <w:rPr>
            <w:rStyle w:val="Hyperlink"/>
            <w:rFonts w:ascii="Segoe UI" w:eastAsia="Times New Roman" w:hAnsi="Segoe UI" w:cs="Segoe UI"/>
            <w:sz w:val="21"/>
            <w:szCs w:val="21"/>
          </w:rPr>
          <w:t>Link</w:t>
        </w:r>
      </w:hyperlink>
      <w:r w:rsidR="00515EBB">
        <w:rPr>
          <w:rFonts w:ascii="Segoe UI" w:eastAsia="Times New Roman" w:hAnsi="Segoe UI" w:cs="Segoe UI"/>
          <w:sz w:val="21"/>
          <w:szCs w:val="21"/>
        </w:rPr>
        <w:t>]</w:t>
      </w:r>
    </w:p>
    <w:p w14:paraId="36174368" w14:textId="6FCAEBC2" w:rsidR="00FC46BA" w:rsidRPr="00FC46BA" w:rsidRDefault="00D51CAF" w:rsidP="00FC46BA">
      <w:pPr>
        <w:pStyle w:val="ListParagraph"/>
        <w:numPr>
          <w:ilvl w:val="0"/>
          <w:numId w:val="1"/>
        </w:numPr>
        <w:rPr>
          <w:rFonts w:ascii="Segoe UI" w:hAnsi="Segoe UI" w:cs="Segoe UI"/>
          <w:sz w:val="21"/>
          <w:szCs w:val="21"/>
        </w:rPr>
      </w:pPr>
      <w:r>
        <w:rPr>
          <w:rFonts w:ascii="Segoe UI" w:hAnsi="Segoe UI" w:cs="Segoe UI"/>
          <w:sz w:val="21"/>
          <w:szCs w:val="21"/>
        </w:rPr>
        <w:t>Full g</w:t>
      </w:r>
      <w:r w:rsidR="00FC46BA" w:rsidRPr="00FC46BA">
        <w:rPr>
          <w:rFonts w:ascii="Segoe UI" w:hAnsi="Segoe UI" w:cs="Segoe UI"/>
          <w:sz w:val="21"/>
          <w:szCs w:val="21"/>
        </w:rPr>
        <w:t>ravity model time</w:t>
      </w:r>
      <w:r w:rsidR="00266FA5">
        <w:rPr>
          <w:rFonts w:ascii="Segoe UI" w:hAnsi="Segoe UI" w:cs="Segoe UI"/>
          <w:sz w:val="21"/>
          <w:szCs w:val="21"/>
        </w:rPr>
        <w:t xml:space="preserve"> series</w:t>
      </w:r>
      <w:r>
        <w:rPr>
          <w:rFonts w:ascii="Segoe UI" w:hAnsi="Segoe UI" w:cs="Segoe UI"/>
          <w:sz w:val="21"/>
          <w:szCs w:val="21"/>
        </w:rPr>
        <w:t xml:space="preserve"> with codebook</w:t>
      </w:r>
      <w:r w:rsidR="00266FA5">
        <w:rPr>
          <w:rFonts w:ascii="Segoe UI" w:hAnsi="Segoe UI" w:cs="Segoe UI"/>
          <w:sz w:val="21"/>
          <w:szCs w:val="21"/>
        </w:rPr>
        <w:t xml:space="preserve">. </w:t>
      </w:r>
      <w:r w:rsidR="00755AC7">
        <w:rPr>
          <w:rFonts w:ascii="Segoe UI" w:hAnsi="Segoe UI" w:cs="Segoe UI"/>
          <w:sz w:val="21"/>
          <w:szCs w:val="21"/>
        </w:rPr>
        <w:t>[</w:t>
      </w:r>
      <w:hyperlink r:id="rId6" w:history="1">
        <w:r w:rsidR="00755AC7" w:rsidRPr="00D92D34">
          <w:rPr>
            <w:rStyle w:val="Hyperlink"/>
            <w:rFonts w:ascii="Segoe UI" w:hAnsi="Segoe UI" w:cs="Segoe UI"/>
            <w:sz w:val="21"/>
            <w:szCs w:val="21"/>
          </w:rPr>
          <w:t>Link</w:t>
        </w:r>
      </w:hyperlink>
      <w:r w:rsidR="00755AC7">
        <w:rPr>
          <w:rFonts w:ascii="Segoe UI" w:hAnsi="Segoe UI" w:cs="Segoe UI"/>
          <w:sz w:val="21"/>
          <w:szCs w:val="21"/>
        </w:rPr>
        <w:t>]</w:t>
      </w:r>
      <w:r>
        <w:rPr>
          <w:rFonts w:ascii="Segoe UI" w:hAnsi="Segoe UI" w:cs="Segoe UI"/>
          <w:sz w:val="21"/>
          <w:szCs w:val="21"/>
        </w:rPr>
        <w:t xml:space="preserve"> </w:t>
      </w:r>
    </w:p>
    <w:p w14:paraId="087F535E" w14:textId="10F82D07" w:rsidR="00FC46BA" w:rsidRPr="00FC46BA" w:rsidRDefault="00FC46BA" w:rsidP="00FC46BA">
      <w:pPr>
        <w:pStyle w:val="ListParagraph"/>
        <w:numPr>
          <w:ilvl w:val="0"/>
          <w:numId w:val="1"/>
        </w:numPr>
        <w:rPr>
          <w:rFonts w:ascii="Segoe UI" w:hAnsi="Segoe UI" w:cs="Segoe UI"/>
          <w:sz w:val="21"/>
          <w:szCs w:val="21"/>
        </w:rPr>
      </w:pPr>
      <w:r w:rsidRPr="00FC46BA">
        <w:rPr>
          <w:rFonts w:ascii="Segoe UI" w:hAnsi="Segoe UI" w:cs="Segoe UI"/>
          <w:sz w:val="21"/>
          <w:szCs w:val="21"/>
        </w:rPr>
        <w:t>ONS UK total trade: all countries, non-seasonally adjusted</w:t>
      </w:r>
      <w:r>
        <w:rPr>
          <w:rFonts w:ascii="Segoe UI" w:hAnsi="Segoe UI" w:cs="Segoe UI"/>
          <w:sz w:val="21"/>
          <w:szCs w:val="21"/>
        </w:rPr>
        <w:t>. [</w:t>
      </w:r>
      <w:hyperlink r:id="rId7" w:history="1">
        <w:r w:rsidRPr="00FC46BA">
          <w:rPr>
            <w:rStyle w:val="Hyperlink"/>
            <w:rFonts w:ascii="Segoe UI" w:hAnsi="Segoe UI" w:cs="Segoe UI"/>
            <w:sz w:val="21"/>
            <w:szCs w:val="21"/>
          </w:rPr>
          <w:t>Link</w:t>
        </w:r>
      </w:hyperlink>
      <w:r>
        <w:rPr>
          <w:rFonts w:ascii="Segoe UI" w:hAnsi="Segoe UI" w:cs="Segoe UI"/>
          <w:sz w:val="21"/>
          <w:szCs w:val="21"/>
        </w:rPr>
        <w:t>]</w:t>
      </w:r>
    </w:p>
    <w:p w14:paraId="01B26923" w14:textId="77777777" w:rsidR="00FC46BA" w:rsidRPr="00E236A3" w:rsidRDefault="00FC46BA" w:rsidP="00FC46BA">
      <w:pPr>
        <w:rPr>
          <w:rFonts w:ascii="Helvetica" w:hAnsi="Helvetica"/>
          <w:sz w:val="22"/>
          <w:szCs w:val="22"/>
        </w:rPr>
      </w:pPr>
    </w:p>
    <w:p w14:paraId="34781638" w14:textId="77777777" w:rsidR="00FC46BA" w:rsidRPr="003963D7" w:rsidRDefault="00FC46BA" w:rsidP="00FC46BA">
      <w:pPr>
        <w:rPr>
          <w:rFonts w:ascii="Arial" w:eastAsiaTheme="majorEastAsia" w:hAnsi="Arial" w:cstheme="majorBidi"/>
          <w:b/>
          <w:bCs/>
          <w:color w:val="1F3864" w:themeColor="accent1" w:themeShade="80"/>
          <w:szCs w:val="32"/>
        </w:rPr>
      </w:pPr>
      <w:r w:rsidRPr="003963D7">
        <w:rPr>
          <w:rFonts w:ascii="Arial" w:eastAsiaTheme="majorEastAsia" w:hAnsi="Arial" w:cstheme="majorBidi"/>
          <w:b/>
          <w:bCs/>
          <w:color w:val="1F3864" w:themeColor="accent1" w:themeShade="80"/>
          <w:szCs w:val="32"/>
        </w:rPr>
        <w:t>Reading list</w:t>
      </w:r>
    </w:p>
    <w:p w14:paraId="4AC4E246" w14:textId="77777777" w:rsidR="00FC46BA" w:rsidRDefault="00FC46BA" w:rsidP="00FC46BA">
      <w:pPr>
        <w:rPr>
          <w:rFonts w:ascii="Segoe UI" w:hAnsi="Segoe UI" w:cs="Segoe UI"/>
          <w:sz w:val="21"/>
          <w:szCs w:val="21"/>
          <w:u w:val="single"/>
        </w:rPr>
      </w:pPr>
      <w:r>
        <w:rPr>
          <w:rFonts w:ascii="Segoe UI" w:hAnsi="Segoe UI" w:cs="Segoe UI"/>
          <w:sz w:val="21"/>
          <w:szCs w:val="21"/>
          <w:u w:val="single"/>
        </w:rPr>
        <w:t>Gravity model</w:t>
      </w:r>
    </w:p>
    <w:p w14:paraId="07462991" w14:textId="7B620FCB" w:rsidR="00FC46BA" w:rsidRPr="003A1BEF" w:rsidRDefault="00FC46BA" w:rsidP="00FC46BA">
      <w:pPr>
        <w:rPr>
          <w:rFonts w:ascii="Times New Roman" w:eastAsia="Times New Roman" w:hAnsi="Times New Roman" w:cs="Times New Roman"/>
        </w:rPr>
      </w:pPr>
      <w:r w:rsidRPr="00FC46BA">
        <w:rPr>
          <w:rFonts w:ascii="Segoe UI" w:hAnsi="Segoe UI" w:cs="Segoe UI"/>
          <w:sz w:val="21"/>
          <w:szCs w:val="21"/>
        </w:rPr>
        <w:t>Head, K  and Mayer, T. (2014)</w:t>
      </w:r>
      <w:r>
        <w:rPr>
          <w:rFonts w:ascii="Segoe UI" w:hAnsi="Segoe UI" w:cs="Segoe UI"/>
          <w:sz w:val="21"/>
          <w:szCs w:val="21"/>
        </w:rPr>
        <w:t xml:space="preserve"> </w:t>
      </w:r>
      <w:r w:rsidRPr="00FC46BA">
        <w:rPr>
          <w:rFonts w:ascii="Segoe UI" w:hAnsi="Segoe UI" w:cs="Segoe UI"/>
          <w:sz w:val="21"/>
          <w:szCs w:val="21"/>
        </w:rPr>
        <w:t>Gravity Equations: Workhorse,</w:t>
      </w:r>
      <w:r>
        <w:rPr>
          <w:rFonts w:ascii="Segoe UI" w:hAnsi="Segoe UI" w:cs="Segoe UI"/>
          <w:sz w:val="21"/>
          <w:szCs w:val="21"/>
        </w:rPr>
        <w:t xml:space="preserve"> </w:t>
      </w:r>
      <w:r w:rsidRPr="00FC46BA">
        <w:rPr>
          <w:rFonts w:ascii="Segoe UI" w:hAnsi="Segoe UI" w:cs="Segoe UI"/>
          <w:sz w:val="21"/>
          <w:szCs w:val="21"/>
        </w:rPr>
        <w:t xml:space="preserve">Toolkit, and </w:t>
      </w:r>
      <w:r w:rsidRPr="003A1BEF">
        <w:rPr>
          <w:rFonts w:ascii="Segoe UI" w:hAnsi="Segoe UI" w:cs="Segoe UI"/>
          <w:sz w:val="21"/>
          <w:szCs w:val="21"/>
        </w:rPr>
        <w:t xml:space="preserve">Cookbook. </w:t>
      </w:r>
      <w:r w:rsidR="003A1BEF" w:rsidRPr="003A1BEF">
        <w:rPr>
          <w:rFonts w:ascii="Segoe UI" w:hAnsi="Segoe UI" w:cs="Segoe UI"/>
          <w:i/>
          <w:sz w:val="21"/>
          <w:szCs w:val="21"/>
        </w:rPr>
        <w:t xml:space="preserve">Handbook of </w:t>
      </w:r>
      <w:r w:rsidR="003A1BEF">
        <w:rPr>
          <w:rFonts w:ascii="Segoe UI" w:hAnsi="Segoe UI" w:cs="Segoe UI"/>
          <w:i/>
          <w:sz w:val="21"/>
          <w:szCs w:val="21"/>
        </w:rPr>
        <w:t>I</w:t>
      </w:r>
      <w:r w:rsidR="003A1BEF" w:rsidRPr="003A1BEF">
        <w:rPr>
          <w:rFonts w:ascii="Segoe UI" w:hAnsi="Segoe UI" w:cs="Segoe UI"/>
          <w:i/>
          <w:sz w:val="21"/>
          <w:szCs w:val="21"/>
        </w:rPr>
        <w:t xml:space="preserve">nternational </w:t>
      </w:r>
      <w:r w:rsidR="003A1BEF">
        <w:rPr>
          <w:rFonts w:ascii="Segoe UI" w:hAnsi="Segoe UI" w:cs="Segoe UI"/>
          <w:i/>
          <w:sz w:val="21"/>
          <w:szCs w:val="21"/>
        </w:rPr>
        <w:t>E</w:t>
      </w:r>
      <w:r w:rsidR="003A1BEF" w:rsidRPr="003A1BEF">
        <w:rPr>
          <w:rFonts w:ascii="Segoe UI" w:hAnsi="Segoe UI" w:cs="Segoe UI"/>
          <w:i/>
          <w:sz w:val="21"/>
          <w:szCs w:val="21"/>
        </w:rPr>
        <w:t>conomics</w:t>
      </w:r>
      <w:r w:rsidR="003A1BEF" w:rsidRPr="003A1BEF">
        <w:rPr>
          <w:rFonts w:ascii="Segoe UI" w:hAnsi="Segoe UI" w:cs="Segoe UI"/>
          <w:sz w:val="21"/>
          <w:szCs w:val="21"/>
        </w:rPr>
        <w:t>, vol. 4, Elsevier.</w:t>
      </w:r>
      <w:r w:rsidR="00515EBB">
        <w:rPr>
          <w:rFonts w:ascii="Segoe UI" w:hAnsi="Segoe UI" w:cs="Segoe UI"/>
          <w:sz w:val="21"/>
          <w:szCs w:val="21"/>
        </w:rPr>
        <w:t xml:space="preserve"> [</w:t>
      </w:r>
      <w:hyperlink r:id="rId8" w:history="1">
        <w:r w:rsidR="00515EBB" w:rsidRPr="00515EBB">
          <w:rPr>
            <w:rStyle w:val="Hyperlink"/>
            <w:rFonts w:ascii="Segoe UI" w:hAnsi="Segoe UI" w:cs="Segoe UI"/>
            <w:sz w:val="21"/>
            <w:szCs w:val="21"/>
          </w:rPr>
          <w:t>Link</w:t>
        </w:r>
      </w:hyperlink>
      <w:r w:rsidR="00515EBB">
        <w:rPr>
          <w:rFonts w:ascii="Segoe UI" w:hAnsi="Segoe UI" w:cs="Segoe UI"/>
          <w:sz w:val="21"/>
          <w:szCs w:val="21"/>
        </w:rPr>
        <w:t>]</w:t>
      </w:r>
    </w:p>
    <w:p w14:paraId="5764CD42" w14:textId="77777777" w:rsidR="00A70C4D" w:rsidRPr="00A70C4D" w:rsidRDefault="00A70C4D" w:rsidP="00A70C4D">
      <w:pPr>
        <w:rPr>
          <w:rFonts w:ascii="Segoe UI" w:hAnsi="Segoe UI" w:cs="Segoe UI"/>
          <w:sz w:val="21"/>
          <w:szCs w:val="21"/>
        </w:rPr>
      </w:pPr>
    </w:p>
    <w:p w14:paraId="30B4709B" w14:textId="16585F00" w:rsidR="00A70C4D" w:rsidRDefault="00A70C4D" w:rsidP="00A70C4D">
      <w:pPr>
        <w:rPr>
          <w:rFonts w:ascii="Segoe UI" w:hAnsi="Segoe UI" w:cs="Segoe UI"/>
          <w:sz w:val="21"/>
          <w:szCs w:val="21"/>
        </w:rPr>
      </w:pPr>
      <w:r w:rsidRPr="00A70C4D">
        <w:rPr>
          <w:rFonts w:ascii="Segoe UI" w:hAnsi="Segoe UI" w:cs="Segoe UI"/>
          <w:sz w:val="21"/>
          <w:szCs w:val="21"/>
        </w:rPr>
        <w:t>Anderson, J and van Wincoop, E. (2001) Gravity with Gravitas: A Solution to the Border Puzzle</w:t>
      </w:r>
      <w:r>
        <w:rPr>
          <w:rFonts w:ascii="Segoe UI" w:hAnsi="Segoe UI" w:cs="Segoe UI"/>
          <w:sz w:val="21"/>
          <w:szCs w:val="21"/>
        </w:rPr>
        <w:t>. [</w:t>
      </w:r>
      <w:hyperlink r:id="rId9" w:history="1">
        <w:r w:rsidRPr="00A70C4D">
          <w:rPr>
            <w:rStyle w:val="Hyperlink"/>
            <w:rFonts w:ascii="Segoe UI" w:hAnsi="Segoe UI" w:cs="Segoe UI"/>
            <w:sz w:val="21"/>
            <w:szCs w:val="21"/>
          </w:rPr>
          <w:t>Link</w:t>
        </w:r>
      </w:hyperlink>
      <w:r>
        <w:rPr>
          <w:rFonts w:ascii="Segoe UI" w:hAnsi="Segoe UI" w:cs="Segoe UI"/>
          <w:sz w:val="21"/>
          <w:szCs w:val="21"/>
        </w:rPr>
        <w:t>]</w:t>
      </w:r>
    </w:p>
    <w:p w14:paraId="57413AE5" w14:textId="7C7D505C" w:rsidR="00A70C4D" w:rsidRDefault="00A70C4D" w:rsidP="00A70C4D">
      <w:pPr>
        <w:rPr>
          <w:rFonts w:ascii="Segoe UI" w:hAnsi="Segoe UI" w:cs="Segoe UI"/>
          <w:sz w:val="21"/>
          <w:szCs w:val="21"/>
        </w:rPr>
      </w:pPr>
    </w:p>
    <w:p w14:paraId="2E78C498" w14:textId="737E2E9C" w:rsidR="00A70C4D" w:rsidRDefault="00A70C4D" w:rsidP="00A70C4D">
      <w:pPr>
        <w:rPr>
          <w:rFonts w:ascii="Segoe UI" w:hAnsi="Segoe UI" w:cs="Segoe UI"/>
          <w:sz w:val="21"/>
          <w:szCs w:val="21"/>
        </w:rPr>
      </w:pPr>
      <w:r w:rsidRPr="00A70C4D">
        <w:rPr>
          <w:rFonts w:ascii="Segoe UI" w:hAnsi="Segoe UI" w:cs="Segoe UI"/>
          <w:sz w:val="21"/>
          <w:szCs w:val="21"/>
        </w:rPr>
        <w:t>Altman, S and Bastian, P (2020) DHL Global Interconnectedness Index 2020: The State of Globalization in a Distancing World. [</w:t>
      </w:r>
      <w:hyperlink r:id="rId10" w:history="1">
        <w:r w:rsidRPr="00A70C4D">
          <w:rPr>
            <w:rStyle w:val="Hyperlink"/>
            <w:rFonts w:ascii="Segoe UI" w:hAnsi="Segoe UI" w:cs="Segoe UI"/>
            <w:sz w:val="21"/>
            <w:szCs w:val="21"/>
          </w:rPr>
          <w:t>Link</w:t>
        </w:r>
      </w:hyperlink>
      <w:r w:rsidRPr="00A70C4D">
        <w:rPr>
          <w:rFonts w:ascii="Segoe UI" w:hAnsi="Segoe UI" w:cs="Segoe UI"/>
          <w:sz w:val="21"/>
          <w:szCs w:val="21"/>
        </w:rPr>
        <w:t xml:space="preserve">] </w:t>
      </w:r>
    </w:p>
    <w:p w14:paraId="4ACF11C7" w14:textId="04E9E9EB" w:rsidR="00755AC7" w:rsidRDefault="00755AC7" w:rsidP="00A70C4D">
      <w:pPr>
        <w:rPr>
          <w:rFonts w:ascii="Segoe UI" w:hAnsi="Segoe UI" w:cs="Segoe UI"/>
          <w:sz w:val="21"/>
          <w:szCs w:val="21"/>
        </w:rPr>
      </w:pPr>
    </w:p>
    <w:p w14:paraId="1CBFA20F" w14:textId="0434AA0C" w:rsidR="00755AC7" w:rsidRPr="00A70C4D" w:rsidRDefault="00755AC7" w:rsidP="00A70C4D">
      <w:pPr>
        <w:rPr>
          <w:rFonts w:ascii="Segoe UI" w:hAnsi="Segoe UI" w:cs="Segoe UI"/>
          <w:sz w:val="21"/>
          <w:szCs w:val="21"/>
        </w:rPr>
      </w:pPr>
      <w:r w:rsidRPr="00755AC7">
        <w:rPr>
          <w:rFonts w:ascii="Segoe UI" w:hAnsi="Segoe UI" w:cs="Segoe UI"/>
          <w:sz w:val="21"/>
          <w:szCs w:val="21"/>
        </w:rPr>
        <w:t>Santos Silva, J and S Tenreyro (2006), “The log of gravity ", The Review of Economics and Statistics 88(4).</w:t>
      </w:r>
      <w:r>
        <w:rPr>
          <w:rFonts w:ascii="Segoe UI" w:hAnsi="Segoe UI" w:cs="Segoe UI"/>
          <w:sz w:val="21"/>
          <w:szCs w:val="21"/>
        </w:rPr>
        <w:t xml:space="preserve"> [</w:t>
      </w:r>
      <w:hyperlink r:id="rId11" w:history="1">
        <w:r w:rsidRPr="00755AC7">
          <w:rPr>
            <w:rStyle w:val="Hyperlink"/>
            <w:rFonts w:ascii="Segoe UI" w:hAnsi="Segoe UI" w:cs="Segoe UI"/>
            <w:sz w:val="21"/>
            <w:szCs w:val="21"/>
          </w:rPr>
          <w:t>Link</w:t>
        </w:r>
      </w:hyperlink>
      <w:r>
        <w:rPr>
          <w:rFonts w:ascii="Segoe UI" w:hAnsi="Segoe UI" w:cs="Segoe UI"/>
          <w:sz w:val="21"/>
          <w:szCs w:val="21"/>
        </w:rPr>
        <w:t>]</w:t>
      </w:r>
    </w:p>
    <w:p w14:paraId="7A94F23E" w14:textId="77777777" w:rsidR="00A70C4D" w:rsidRDefault="00A70C4D" w:rsidP="00FC46BA">
      <w:pPr>
        <w:rPr>
          <w:rFonts w:ascii="Segoe UI" w:hAnsi="Segoe UI" w:cs="Segoe UI"/>
          <w:sz w:val="21"/>
          <w:szCs w:val="21"/>
        </w:rPr>
      </w:pPr>
    </w:p>
    <w:p w14:paraId="77440A27" w14:textId="185320F8" w:rsidR="00FC46BA" w:rsidRPr="00FC46BA" w:rsidRDefault="00FC46BA" w:rsidP="00FC46BA">
      <w:pPr>
        <w:rPr>
          <w:rFonts w:ascii="Segoe UI" w:hAnsi="Segoe UI" w:cs="Segoe UI"/>
          <w:sz w:val="21"/>
          <w:szCs w:val="21"/>
          <w:u w:val="single"/>
        </w:rPr>
      </w:pPr>
      <w:r w:rsidRPr="00FC46BA">
        <w:rPr>
          <w:rFonts w:ascii="Segoe UI" w:hAnsi="Segoe UI" w:cs="Segoe UI"/>
          <w:sz w:val="21"/>
          <w:szCs w:val="21"/>
          <w:u w:val="single"/>
        </w:rPr>
        <w:t xml:space="preserve">Brexit </w:t>
      </w:r>
    </w:p>
    <w:p w14:paraId="65CCCE1F" w14:textId="33A7BAA6" w:rsidR="00755AC7" w:rsidRPr="00755AC7" w:rsidRDefault="00755AC7" w:rsidP="00755AC7">
      <w:pPr>
        <w:rPr>
          <w:rFonts w:ascii="Segoe UI" w:hAnsi="Segoe UI" w:cs="Segoe UI"/>
          <w:sz w:val="21"/>
          <w:szCs w:val="21"/>
        </w:rPr>
      </w:pPr>
      <w:r w:rsidRPr="00755AC7">
        <w:rPr>
          <w:rFonts w:ascii="Segoe UI" w:hAnsi="Segoe UI" w:cs="Segoe UI"/>
          <w:sz w:val="21"/>
          <w:szCs w:val="21"/>
        </w:rPr>
        <w:t>Estrin, S., Cote, C. and Shapiro, D. (2018). Can Brexit defy gravity? It is still much cheaper to trade with neighbouring countries. [</w:t>
      </w:r>
      <w:hyperlink r:id="rId12" w:history="1">
        <w:r w:rsidRPr="00755AC7">
          <w:rPr>
            <w:rStyle w:val="Hyperlink"/>
            <w:rFonts w:ascii="Segoe UI" w:hAnsi="Segoe UI" w:cs="Segoe UI"/>
            <w:sz w:val="21"/>
            <w:szCs w:val="21"/>
          </w:rPr>
          <w:t>Link</w:t>
        </w:r>
      </w:hyperlink>
      <w:r w:rsidRPr="00755AC7">
        <w:rPr>
          <w:rFonts w:ascii="Segoe UI" w:hAnsi="Segoe UI" w:cs="Segoe UI"/>
          <w:sz w:val="21"/>
          <w:szCs w:val="21"/>
        </w:rPr>
        <w:t>]</w:t>
      </w:r>
    </w:p>
    <w:p w14:paraId="15DC26BC" w14:textId="04F911BE" w:rsidR="00755AC7" w:rsidRDefault="00755AC7" w:rsidP="00FC46BA">
      <w:pPr>
        <w:rPr>
          <w:rFonts w:ascii="Segoe UI" w:hAnsi="Segoe UI" w:cs="Segoe UI"/>
          <w:sz w:val="21"/>
          <w:szCs w:val="21"/>
        </w:rPr>
      </w:pPr>
    </w:p>
    <w:p w14:paraId="71D5E090" w14:textId="64651B7B" w:rsidR="00FC46BA" w:rsidRPr="00FC46BA" w:rsidRDefault="00FC46BA" w:rsidP="00FC46BA">
      <w:pPr>
        <w:rPr>
          <w:rFonts w:ascii="Segoe UI" w:hAnsi="Segoe UI" w:cs="Segoe UI"/>
          <w:sz w:val="21"/>
          <w:szCs w:val="21"/>
        </w:rPr>
      </w:pPr>
      <w:r w:rsidRPr="00FC46BA">
        <w:rPr>
          <w:rFonts w:ascii="Segoe UI" w:hAnsi="Segoe UI" w:cs="Segoe UI"/>
          <w:sz w:val="21"/>
          <w:szCs w:val="21"/>
        </w:rPr>
        <w:t xml:space="preserve">Coutts, K. et al. (2017) Defying Gravity: A critique of estimates of the economic impact of Brexit. Policy Exchange. </w:t>
      </w:r>
      <w:r>
        <w:rPr>
          <w:rFonts w:ascii="Segoe UI" w:hAnsi="Segoe UI" w:cs="Segoe UI"/>
          <w:sz w:val="21"/>
          <w:szCs w:val="21"/>
        </w:rPr>
        <w:t>[</w:t>
      </w:r>
      <w:hyperlink r:id="rId13" w:history="1">
        <w:r w:rsidRPr="00FC46BA">
          <w:rPr>
            <w:rStyle w:val="Hyperlink"/>
            <w:rFonts w:ascii="Segoe UI" w:hAnsi="Segoe UI" w:cs="Segoe UI"/>
            <w:sz w:val="21"/>
            <w:szCs w:val="21"/>
          </w:rPr>
          <w:t>Link</w:t>
        </w:r>
      </w:hyperlink>
      <w:r>
        <w:rPr>
          <w:rFonts w:ascii="Segoe UI" w:hAnsi="Segoe UI" w:cs="Segoe UI"/>
          <w:sz w:val="21"/>
          <w:szCs w:val="21"/>
        </w:rPr>
        <w:t>]</w:t>
      </w:r>
    </w:p>
    <w:p w14:paraId="083B0BAD" w14:textId="02A7D613" w:rsidR="00FC46BA" w:rsidRDefault="00FC46BA"/>
    <w:p w14:paraId="676AFB9E" w14:textId="736C3CBD" w:rsidR="00FC46BA" w:rsidRDefault="00FC46BA" w:rsidP="00FC46BA">
      <w:pPr>
        <w:rPr>
          <w:rFonts w:ascii="Segoe UI" w:hAnsi="Segoe UI" w:cs="Segoe UI"/>
          <w:sz w:val="21"/>
          <w:szCs w:val="21"/>
        </w:rPr>
      </w:pPr>
      <w:r>
        <w:rPr>
          <w:rFonts w:ascii="Segoe UI" w:hAnsi="Segoe UI" w:cs="Segoe UI"/>
          <w:sz w:val="21"/>
          <w:szCs w:val="21"/>
        </w:rPr>
        <w:t xml:space="preserve">Dhingra, S. et al (2016) </w:t>
      </w:r>
      <w:r w:rsidRPr="00FC46BA">
        <w:rPr>
          <w:rFonts w:ascii="Segoe UI" w:hAnsi="Segoe UI" w:cs="Segoe UI"/>
          <w:sz w:val="21"/>
          <w:szCs w:val="21"/>
        </w:rPr>
        <w:t>The UK Treasury analysis of 'The long-term economic impact of EU membership and the alternatives': CEP Commentary</w:t>
      </w:r>
      <w:r>
        <w:rPr>
          <w:rFonts w:ascii="Segoe UI" w:hAnsi="Segoe UI" w:cs="Segoe UI"/>
          <w:sz w:val="21"/>
          <w:szCs w:val="21"/>
        </w:rPr>
        <w:t xml:space="preserve"> [</w:t>
      </w:r>
      <w:hyperlink r:id="rId14" w:history="1">
        <w:r w:rsidRPr="003A1BEF">
          <w:rPr>
            <w:rStyle w:val="Hyperlink"/>
            <w:rFonts w:ascii="Segoe UI" w:hAnsi="Segoe UI" w:cs="Segoe UI"/>
            <w:sz w:val="21"/>
            <w:szCs w:val="21"/>
          </w:rPr>
          <w:t>Link</w:t>
        </w:r>
      </w:hyperlink>
      <w:r>
        <w:rPr>
          <w:rFonts w:ascii="Segoe UI" w:hAnsi="Segoe UI" w:cs="Segoe UI"/>
          <w:sz w:val="21"/>
          <w:szCs w:val="21"/>
        </w:rPr>
        <w:t>]</w:t>
      </w:r>
    </w:p>
    <w:p w14:paraId="51BB000B" w14:textId="4AAEF761" w:rsidR="00FC46BA" w:rsidRDefault="00FC46BA" w:rsidP="00FC46BA">
      <w:pPr>
        <w:rPr>
          <w:rFonts w:ascii="Times New Roman" w:eastAsia="Times New Roman" w:hAnsi="Times New Roman" w:cs="Times New Roman"/>
        </w:rPr>
      </w:pPr>
    </w:p>
    <w:p w14:paraId="018B7EC5" w14:textId="0DD88F46" w:rsidR="00FC46BA" w:rsidRPr="00FC46BA" w:rsidRDefault="00FC46BA" w:rsidP="00FC46BA">
      <w:pPr>
        <w:rPr>
          <w:rFonts w:ascii="Segoe UI" w:hAnsi="Segoe UI" w:cs="Segoe UI"/>
          <w:sz w:val="21"/>
          <w:szCs w:val="21"/>
        </w:rPr>
      </w:pPr>
      <w:r w:rsidRPr="00FC46BA">
        <w:rPr>
          <w:rFonts w:ascii="Segoe UI" w:hAnsi="Segoe UI" w:cs="Segoe UI"/>
          <w:sz w:val="21"/>
          <w:szCs w:val="21"/>
        </w:rPr>
        <w:t>Department for Internation</w:t>
      </w:r>
      <w:r>
        <w:rPr>
          <w:rFonts w:ascii="Segoe UI" w:hAnsi="Segoe UI" w:cs="Segoe UI"/>
          <w:sz w:val="21"/>
          <w:szCs w:val="21"/>
        </w:rPr>
        <w:t>al</w:t>
      </w:r>
      <w:r w:rsidRPr="00FC46BA">
        <w:rPr>
          <w:rFonts w:ascii="Segoe UI" w:hAnsi="Segoe UI" w:cs="Segoe UI"/>
          <w:sz w:val="21"/>
          <w:szCs w:val="21"/>
        </w:rPr>
        <w:t xml:space="preserve"> Trade (2020) UK-Australia free trade agreement: the UK's strategic approach</w:t>
      </w:r>
      <w:r>
        <w:rPr>
          <w:rFonts w:ascii="Segoe UI" w:hAnsi="Segoe UI" w:cs="Segoe UI"/>
          <w:sz w:val="21"/>
          <w:szCs w:val="21"/>
        </w:rPr>
        <w:t>. [</w:t>
      </w:r>
      <w:hyperlink r:id="rId15" w:history="1">
        <w:r w:rsidRPr="00FC46BA">
          <w:rPr>
            <w:rStyle w:val="Hyperlink"/>
            <w:rFonts w:ascii="Segoe UI" w:hAnsi="Segoe UI" w:cs="Segoe UI"/>
            <w:sz w:val="21"/>
            <w:szCs w:val="21"/>
          </w:rPr>
          <w:t>Link</w:t>
        </w:r>
      </w:hyperlink>
      <w:r>
        <w:rPr>
          <w:rFonts w:ascii="Segoe UI" w:hAnsi="Segoe UI" w:cs="Segoe UI"/>
          <w:sz w:val="21"/>
          <w:szCs w:val="21"/>
        </w:rPr>
        <w:t>]</w:t>
      </w:r>
    </w:p>
    <w:p w14:paraId="355532D5" w14:textId="4190EDF8" w:rsidR="00FC46BA" w:rsidRPr="00FC46BA" w:rsidRDefault="00FC46BA" w:rsidP="00FC46BA">
      <w:pPr>
        <w:rPr>
          <w:rFonts w:ascii="Times New Roman" w:eastAsia="Times New Roman" w:hAnsi="Times New Roman" w:cs="Times New Roman"/>
        </w:rPr>
      </w:pPr>
    </w:p>
    <w:p w14:paraId="7BCC4B20" w14:textId="77777777" w:rsidR="00FC46BA" w:rsidRDefault="00FC46BA"/>
    <w:sectPr w:rsidR="00FC46BA" w:rsidSect="003310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C6DB5"/>
    <w:multiLevelType w:val="multilevel"/>
    <w:tmpl w:val="10C8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C3602"/>
    <w:multiLevelType w:val="hybridMultilevel"/>
    <w:tmpl w:val="6818E262"/>
    <w:lvl w:ilvl="0" w:tplc="A1907E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67"/>
    <w:rsid w:val="00266FA5"/>
    <w:rsid w:val="00284616"/>
    <w:rsid w:val="003310B0"/>
    <w:rsid w:val="003A1BEF"/>
    <w:rsid w:val="00515EBB"/>
    <w:rsid w:val="00742A99"/>
    <w:rsid w:val="00755AC7"/>
    <w:rsid w:val="00760CAD"/>
    <w:rsid w:val="00A70C4D"/>
    <w:rsid w:val="00C835D8"/>
    <w:rsid w:val="00D51CAF"/>
    <w:rsid w:val="00D92D34"/>
    <w:rsid w:val="00E03367"/>
    <w:rsid w:val="00FC4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3B1C2B"/>
  <w15:chartTrackingRefBased/>
  <w15:docId w15:val="{00A59018-D039-964E-8FBE-DCC1278F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46B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6BA"/>
    <w:rPr>
      <w:color w:val="0000FF"/>
      <w:u w:val="single"/>
    </w:rPr>
  </w:style>
  <w:style w:type="paragraph" w:styleId="ListParagraph">
    <w:name w:val="List Paragraph"/>
    <w:basedOn w:val="Normal"/>
    <w:uiPriority w:val="34"/>
    <w:qFormat/>
    <w:rsid w:val="00FC46BA"/>
    <w:pPr>
      <w:ind w:left="720"/>
      <w:contextualSpacing/>
    </w:pPr>
  </w:style>
  <w:style w:type="paragraph" w:styleId="NormalWeb">
    <w:name w:val="Normal (Web)"/>
    <w:basedOn w:val="Normal"/>
    <w:uiPriority w:val="99"/>
    <w:semiHidden/>
    <w:unhideWhenUsed/>
    <w:rsid w:val="00FC46B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C46BA"/>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FC46BA"/>
    <w:rPr>
      <w:color w:val="605E5C"/>
      <w:shd w:val="clear" w:color="auto" w:fill="E1DFDD"/>
    </w:rPr>
  </w:style>
  <w:style w:type="character" w:styleId="Emphasis">
    <w:name w:val="Emphasis"/>
    <w:basedOn w:val="DefaultParagraphFont"/>
    <w:uiPriority w:val="20"/>
    <w:qFormat/>
    <w:rsid w:val="003A1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2154">
      <w:bodyDiv w:val="1"/>
      <w:marLeft w:val="0"/>
      <w:marRight w:val="0"/>
      <w:marTop w:val="0"/>
      <w:marBottom w:val="0"/>
      <w:divBdr>
        <w:top w:val="none" w:sz="0" w:space="0" w:color="auto"/>
        <w:left w:val="none" w:sz="0" w:space="0" w:color="auto"/>
        <w:bottom w:val="none" w:sz="0" w:space="0" w:color="auto"/>
        <w:right w:val="none" w:sz="0" w:space="0" w:color="auto"/>
      </w:divBdr>
    </w:div>
    <w:div w:id="371030153">
      <w:bodyDiv w:val="1"/>
      <w:marLeft w:val="0"/>
      <w:marRight w:val="0"/>
      <w:marTop w:val="0"/>
      <w:marBottom w:val="0"/>
      <w:divBdr>
        <w:top w:val="none" w:sz="0" w:space="0" w:color="auto"/>
        <w:left w:val="none" w:sz="0" w:space="0" w:color="auto"/>
        <w:bottom w:val="none" w:sz="0" w:space="0" w:color="auto"/>
        <w:right w:val="none" w:sz="0" w:space="0" w:color="auto"/>
      </w:divBdr>
    </w:div>
    <w:div w:id="429395631">
      <w:bodyDiv w:val="1"/>
      <w:marLeft w:val="0"/>
      <w:marRight w:val="0"/>
      <w:marTop w:val="0"/>
      <w:marBottom w:val="0"/>
      <w:divBdr>
        <w:top w:val="none" w:sz="0" w:space="0" w:color="auto"/>
        <w:left w:val="none" w:sz="0" w:space="0" w:color="auto"/>
        <w:bottom w:val="none" w:sz="0" w:space="0" w:color="auto"/>
        <w:right w:val="none" w:sz="0" w:space="0" w:color="auto"/>
      </w:divBdr>
    </w:div>
    <w:div w:id="623125035">
      <w:bodyDiv w:val="1"/>
      <w:marLeft w:val="0"/>
      <w:marRight w:val="0"/>
      <w:marTop w:val="0"/>
      <w:marBottom w:val="0"/>
      <w:divBdr>
        <w:top w:val="none" w:sz="0" w:space="0" w:color="auto"/>
        <w:left w:val="none" w:sz="0" w:space="0" w:color="auto"/>
        <w:bottom w:val="none" w:sz="0" w:space="0" w:color="auto"/>
        <w:right w:val="none" w:sz="0" w:space="0" w:color="auto"/>
      </w:divBdr>
    </w:div>
    <w:div w:id="895626155">
      <w:bodyDiv w:val="1"/>
      <w:marLeft w:val="0"/>
      <w:marRight w:val="0"/>
      <w:marTop w:val="0"/>
      <w:marBottom w:val="0"/>
      <w:divBdr>
        <w:top w:val="none" w:sz="0" w:space="0" w:color="auto"/>
        <w:left w:val="none" w:sz="0" w:space="0" w:color="auto"/>
        <w:bottom w:val="none" w:sz="0" w:space="0" w:color="auto"/>
        <w:right w:val="none" w:sz="0" w:space="0" w:color="auto"/>
      </w:divBdr>
    </w:div>
    <w:div w:id="960265957">
      <w:bodyDiv w:val="1"/>
      <w:marLeft w:val="0"/>
      <w:marRight w:val="0"/>
      <w:marTop w:val="0"/>
      <w:marBottom w:val="0"/>
      <w:divBdr>
        <w:top w:val="none" w:sz="0" w:space="0" w:color="auto"/>
        <w:left w:val="none" w:sz="0" w:space="0" w:color="auto"/>
        <w:bottom w:val="none" w:sz="0" w:space="0" w:color="auto"/>
        <w:right w:val="none" w:sz="0" w:space="0" w:color="auto"/>
      </w:divBdr>
    </w:div>
    <w:div w:id="988482331">
      <w:bodyDiv w:val="1"/>
      <w:marLeft w:val="0"/>
      <w:marRight w:val="0"/>
      <w:marTop w:val="0"/>
      <w:marBottom w:val="0"/>
      <w:divBdr>
        <w:top w:val="none" w:sz="0" w:space="0" w:color="auto"/>
        <w:left w:val="none" w:sz="0" w:space="0" w:color="auto"/>
        <w:bottom w:val="none" w:sz="0" w:space="0" w:color="auto"/>
        <w:right w:val="none" w:sz="0" w:space="0" w:color="auto"/>
      </w:divBdr>
    </w:div>
    <w:div w:id="1044217232">
      <w:bodyDiv w:val="1"/>
      <w:marLeft w:val="0"/>
      <w:marRight w:val="0"/>
      <w:marTop w:val="0"/>
      <w:marBottom w:val="0"/>
      <w:divBdr>
        <w:top w:val="none" w:sz="0" w:space="0" w:color="auto"/>
        <w:left w:val="none" w:sz="0" w:space="0" w:color="auto"/>
        <w:bottom w:val="none" w:sz="0" w:space="0" w:color="auto"/>
        <w:right w:val="none" w:sz="0" w:space="0" w:color="auto"/>
      </w:divBdr>
    </w:div>
    <w:div w:id="1288774829">
      <w:bodyDiv w:val="1"/>
      <w:marLeft w:val="0"/>
      <w:marRight w:val="0"/>
      <w:marTop w:val="0"/>
      <w:marBottom w:val="0"/>
      <w:divBdr>
        <w:top w:val="none" w:sz="0" w:space="0" w:color="auto"/>
        <w:left w:val="none" w:sz="0" w:space="0" w:color="auto"/>
        <w:bottom w:val="none" w:sz="0" w:space="0" w:color="auto"/>
        <w:right w:val="none" w:sz="0" w:space="0" w:color="auto"/>
      </w:divBdr>
    </w:div>
    <w:div w:id="1307934232">
      <w:bodyDiv w:val="1"/>
      <w:marLeft w:val="0"/>
      <w:marRight w:val="0"/>
      <w:marTop w:val="0"/>
      <w:marBottom w:val="0"/>
      <w:divBdr>
        <w:top w:val="none" w:sz="0" w:space="0" w:color="auto"/>
        <w:left w:val="none" w:sz="0" w:space="0" w:color="auto"/>
        <w:bottom w:val="none" w:sz="0" w:space="0" w:color="auto"/>
        <w:right w:val="none" w:sz="0" w:space="0" w:color="auto"/>
      </w:divBdr>
    </w:div>
    <w:div w:id="1605378790">
      <w:bodyDiv w:val="1"/>
      <w:marLeft w:val="0"/>
      <w:marRight w:val="0"/>
      <w:marTop w:val="0"/>
      <w:marBottom w:val="0"/>
      <w:divBdr>
        <w:top w:val="none" w:sz="0" w:space="0" w:color="auto"/>
        <w:left w:val="none" w:sz="0" w:space="0" w:color="auto"/>
        <w:bottom w:val="none" w:sz="0" w:space="0" w:color="auto"/>
        <w:right w:val="none" w:sz="0" w:space="0" w:color="auto"/>
      </w:divBdr>
    </w:div>
    <w:div w:id="1741127574">
      <w:bodyDiv w:val="1"/>
      <w:marLeft w:val="0"/>
      <w:marRight w:val="0"/>
      <w:marTop w:val="0"/>
      <w:marBottom w:val="0"/>
      <w:divBdr>
        <w:top w:val="none" w:sz="0" w:space="0" w:color="auto"/>
        <w:left w:val="none" w:sz="0" w:space="0" w:color="auto"/>
        <w:bottom w:val="none" w:sz="0" w:space="0" w:color="auto"/>
        <w:right w:val="none" w:sz="0" w:space="0" w:color="auto"/>
      </w:divBdr>
    </w:div>
    <w:div w:id="1805006310">
      <w:bodyDiv w:val="1"/>
      <w:marLeft w:val="0"/>
      <w:marRight w:val="0"/>
      <w:marTop w:val="0"/>
      <w:marBottom w:val="0"/>
      <w:divBdr>
        <w:top w:val="none" w:sz="0" w:space="0" w:color="auto"/>
        <w:left w:val="none" w:sz="0" w:space="0" w:color="auto"/>
        <w:bottom w:val="none" w:sz="0" w:space="0" w:color="auto"/>
        <w:right w:val="none" w:sz="0" w:space="0" w:color="auto"/>
      </w:divBdr>
    </w:div>
    <w:div w:id="1953432943">
      <w:bodyDiv w:val="1"/>
      <w:marLeft w:val="0"/>
      <w:marRight w:val="0"/>
      <w:marTop w:val="0"/>
      <w:marBottom w:val="0"/>
      <w:divBdr>
        <w:top w:val="none" w:sz="0" w:space="0" w:color="auto"/>
        <w:left w:val="none" w:sz="0" w:space="0" w:color="auto"/>
        <w:bottom w:val="none" w:sz="0" w:space="0" w:color="auto"/>
        <w:right w:val="none" w:sz="0" w:space="0" w:color="auto"/>
      </w:divBdr>
    </w:div>
    <w:div w:id="2037005606">
      <w:bodyDiv w:val="1"/>
      <w:marLeft w:val="0"/>
      <w:marRight w:val="0"/>
      <w:marTop w:val="0"/>
      <w:marBottom w:val="0"/>
      <w:divBdr>
        <w:top w:val="none" w:sz="0" w:space="0" w:color="auto"/>
        <w:left w:val="none" w:sz="0" w:space="0" w:color="auto"/>
        <w:bottom w:val="none" w:sz="0" w:space="0" w:color="auto"/>
        <w:right w:val="none" w:sz="0" w:space="0" w:color="auto"/>
      </w:divBdr>
    </w:div>
    <w:div w:id="20805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pii.fr/pdf_pub/wp/2013/wp2013-27.pdf" TargetMode="External"/><Relationship Id="rId13" Type="http://schemas.openxmlformats.org/officeDocument/2006/relationships/hyperlink" Target="https://policyexchange.org.uk/wp-content/uploads/2017/06/Defying-Gravity-A-critique-of-estimates-of-the-economic-impact-of-Brexit.pdf" TargetMode="External"/><Relationship Id="rId3" Type="http://schemas.openxmlformats.org/officeDocument/2006/relationships/settings" Target="settings.xml"/><Relationship Id="rId7" Type="http://schemas.openxmlformats.org/officeDocument/2006/relationships/hyperlink" Target="https://www.ons.gov.uk/businessindustryandtrade/internationaltrade/datasets/uktotaltradeallcountriesnonseasonallyadjusted" TargetMode="External"/><Relationship Id="rId12" Type="http://schemas.openxmlformats.org/officeDocument/2006/relationships/hyperlink" Target="https://blogs.lse.ac.uk/management/2018/11/09/can-brexit-defy-gravity-it-is-still-much-cheaper-to-trade-with-neighbouring-count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tes.google.com/site/hiegravity/data-sources" TargetMode="External"/><Relationship Id="rId11" Type="http://schemas.openxmlformats.org/officeDocument/2006/relationships/hyperlink" Target="https://personal.lse.ac.uk/tenreyro/jensen08k.pdf" TargetMode="External"/><Relationship Id="rId5" Type="http://schemas.openxmlformats.org/officeDocument/2006/relationships/hyperlink" Target="https://drive.google.com/drive/folders/0B2GupjNVYusicmxGNEF4SV9peGM" TargetMode="External"/><Relationship Id="rId15" Type="http://schemas.openxmlformats.org/officeDocument/2006/relationships/hyperlink" Target="https://www.gov.uk/government/publications/uks-approach-to-negotiating-a-free-trade-agreement-with-australia/uk-australia-free-trade-agreement-the-uks-strategic-approach" TargetMode="External"/><Relationship Id="rId10" Type="http://schemas.openxmlformats.org/officeDocument/2006/relationships/hyperlink" Target="https://www.dhl.com/content/dam/dhl/global/dhl-spotlight/documents/pdf/spotlight-g04-global-connectedness-index-2020.pdf" TargetMode="External"/><Relationship Id="rId4" Type="http://schemas.openxmlformats.org/officeDocument/2006/relationships/webSettings" Target="webSettings.xml"/><Relationship Id="rId9" Type="http://schemas.openxmlformats.org/officeDocument/2006/relationships/hyperlink" Target="https://www.nber.org/papers/w8079" TargetMode="External"/><Relationship Id="rId14" Type="http://schemas.openxmlformats.org/officeDocument/2006/relationships/hyperlink" Target="https://cep.lse.ac.uk/pubs/download/brexit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Siddique</dc:creator>
  <cp:keywords/>
  <dc:description/>
  <cp:lastModifiedBy>Rahat Siddique</cp:lastModifiedBy>
  <cp:revision>12</cp:revision>
  <dcterms:created xsi:type="dcterms:W3CDTF">2021-02-14T15:50:00Z</dcterms:created>
  <dcterms:modified xsi:type="dcterms:W3CDTF">2021-02-17T22:08:00Z</dcterms:modified>
</cp:coreProperties>
</file>