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56F2BD33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92744B">
        <w:rPr>
          <w:rFonts w:ascii="Roboto Light" w:hAnsi="Roboto Light" w:cs="Calibri Light"/>
        </w:rPr>
        <w:t>{{</w:t>
      </w:r>
      <w:r w:rsidR="00011431" w:rsidRPr="0092744B">
        <w:rPr>
          <w:rFonts w:ascii="Roboto Light" w:hAnsi="Roboto Light" w:cs="Calibri Light"/>
        </w:rPr>
        <w:t>DATE</w:t>
      </w:r>
      <w:r w:rsidR="00932CA0" w:rsidRPr="0092744B">
        <w:rPr>
          <w:rFonts w:ascii="Roboto Light" w:hAnsi="Roboto Light" w:cs="Calibri Light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Pr="6860C5E0">
        <w:rPr>
          <w:rFonts w:ascii="Roboto Light" w:hAnsi="Roboto Light" w:cs="Calibri Light"/>
          <w:lang w:val="mn-MN"/>
        </w:rPr>
        <w:t>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Орлогын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төрөл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  <w:proofErr w:type="spellEnd"/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Нийт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Мөнгөн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Цалин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хөлс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Тэтгэвэр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тэтгэмж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ахуйн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үйлдвэрлэлийн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ахуйн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бус</w:t>
            </w:r>
            <w:proofErr w:type="spellEnd"/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үйлдвэрлэл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Бусад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Бусдаас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үнэгүй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авсан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болон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12888AFE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4B3D2F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free_lag2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3.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Өөрийн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хувийн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ахуйгаас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хэрэглэсэн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715F3F0F" w14:textId="3810D618" w:rsidR="005E2ED2" w:rsidRPr="003A5084" w:rsidRDefault="00C943B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lastRenderedPageBreak/>
        <w:drawing>
          <wp:inline distT="0" distB="0" distL="0" distR="0" wp14:anchorId="78F23846" wp14:editId="7F65C24C">
            <wp:extent cx="5273040" cy="33223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51F552-2950-4862-970A-7FCEF7D42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E2ED2"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="005E2ED2"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="005E2ED2"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="005E2ED2"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="005E2ED2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="005E2ED2"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="005E2ED2"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="005E2ED2"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="005E2ED2"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="005E2ED2"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="005E2ED2"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="005E2ED2"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="005E2ED2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="005E2ED2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="005E2ED2"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="005E2ED2"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E2ED2"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A0DE03F" w:rsidR="00AE5548" w:rsidRPr="003A5084" w:rsidRDefault="001E5977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Pr="001E5977">
        <w:rPr>
          <w:noProof/>
        </w:rPr>
        <w:t>PLACEHOLDER</w:t>
      </w:r>
      <w:r>
        <w:rPr>
          <w:noProof/>
        </w:rPr>
        <w:t xml:space="preserve">}}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</w:t>
      </w:r>
      <w:r w:rsidR="003933E9" w:rsidRPr="003A5084">
        <w:rPr>
          <w:rFonts w:ascii="Roboto Light" w:hAnsi="Roboto Light" w:cs="Calibri Light"/>
          <w:iCs/>
          <w:lang w:val="mn-MN"/>
        </w:rPr>
        <w:lastRenderedPageBreak/>
        <w:t xml:space="preserve">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Зарлагын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төрөл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  <w:proofErr w:type="spellEnd"/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Нийт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Мөнгөн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бүтээгдэхүүний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Бусад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Бусдад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өгсөн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бэлэг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тусламж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Бусдаас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үнэгүй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авсан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болон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3.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Өөрийн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хувийн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аж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ахуйгаас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хэрэглэсэн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</w:t>
      </w:r>
      <w:r w:rsidR="00E6243D" w:rsidRPr="003A5084">
        <w:rPr>
          <w:rFonts w:ascii="Roboto Light" w:hAnsi="Roboto Light" w:cs="Calibri Light"/>
          <w:lang w:val="mn-MN"/>
        </w:rPr>
        <w:lastRenderedPageBreak/>
        <w:t xml:space="preserve">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</w:t>
      </w:r>
      <w:r w:rsidR="00446732" w:rsidRPr="003A5084">
        <w:rPr>
          <w:rFonts w:ascii="Roboto Light" w:hAnsi="Roboto Light" w:cs="Calibri Light"/>
          <w:lang w:val="mn-MN"/>
        </w:rPr>
        <w:lastRenderedPageBreak/>
        <w:t xml:space="preserve">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>ы 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6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AE1A" w14:textId="77777777" w:rsidR="00B025E2" w:rsidRDefault="00B025E2" w:rsidP="004F63B8">
      <w:r>
        <w:separator/>
      </w:r>
    </w:p>
  </w:endnote>
  <w:endnote w:type="continuationSeparator" w:id="0">
    <w:p w14:paraId="34495D93" w14:textId="77777777" w:rsidR="00B025E2" w:rsidRDefault="00B025E2" w:rsidP="004F63B8">
      <w:r>
        <w:continuationSeparator/>
      </w:r>
    </w:p>
  </w:endnote>
  <w:endnote w:type="continuationNotice" w:id="1">
    <w:p w14:paraId="3DDB24A9" w14:textId="77777777" w:rsidR="00B025E2" w:rsidRDefault="00B02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873AB" w14:textId="77777777" w:rsidR="00B025E2" w:rsidRDefault="00B025E2" w:rsidP="004F63B8">
      <w:r>
        <w:separator/>
      </w:r>
    </w:p>
  </w:footnote>
  <w:footnote w:type="continuationSeparator" w:id="0">
    <w:p w14:paraId="0E541FD7" w14:textId="77777777" w:rsidR="00B025E2" w:rsidRDefault="00B025E2" w:rsidP="004F63B8">
      <w:r>
        <w:continuationSeparator/>
      </w:r>
    </w:p>
  </w:footnote>
  <w:footnote w:type="continuationNotice" w:id="1">
    <w:p w14:paraId="200118C9" w14:textId="77777777" w:rsidR="00B025E2" w:rsidRDefault="00B02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2832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977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3D2F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44B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5E2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4CFA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3B8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1212.m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onomics\repo_later\python_test2408\report_word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[chart.xlsx]Sheet1!$A$1</c:f>
              <c:strCache>
                <c:ptCount val="1"/>
                <c:pt idx="0">
                  <c:v>date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[chart.xlsx]Sheet1!$A$2:$A$4</c:f>
              <c:numCache>
                <c:formatCode>General</c:formatCode>
                <c:ptCount val="3"/>
                <c:pt idx="0">
                  <c:v>2401</c:v>
                </c:pt>
                <c:pt idx="1">
                  <c:v>2402</c:v>
                </c:pt>
                <c:pt idx="2">
                  <c:v>2403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92-4719-A23B-3E716823758B}"/>
            </c:ext>
          </c:extLst>
        </c:ser>
        <c:ser>
          <c:idx val="1"/>
          <c:order val="1"/>
          <c:tx>
            <c:strRef>
              <c:f>[chart.xlsx]Sheet1!$B$1</c:f>
              <c:strCache>
                <c:ptCount val="1"/>
                <c:pt idx="0">
                  <c:v>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[chart.xlsx]Sheet1!$B$2:$B$4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25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92-4719-A23B-3E7168237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003112"/>
        <c:axId val="409997208"/>
      </c:barChart>
      <c:catAx>
        <c:axId val="410003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997208"/>
        <c:crosses val="autoZero"/>
        <c:auto val="1"/>
        <c:lblAlgn val="ctr"/>
        <c:lblOffset val="100"/>
        <c:noMultiLvlLbl val="0"/>
      </c:catAx>
      <c:valAx>
        <c:axId val="40999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03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3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2439</Words>
  <Characters>13906</Characters>
  <Application>Microsoft Office Word</Application>
  <DocSecurity>0</DocSecurity>
  <Lines>115</Lines>
  <Paragraphs>32</Paragraphs>
  <ScaleCrop>false</ScaleCrop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2</cp:revision>
  <cp:lastPrinted>2024-02-19T09:53:00Z</cp:lastPrinted>
  <dcterms:created xsi:type="dcterms:W3CDTF">2024-08-30T02:13:00Z</dcterms:created>
  <dcterms:modified xsi:type="dcterms:W3CDTF">2024-08-30T02:13:00Z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