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80"/>
        <w:jc w:val="center"/>
      </w:pPr>
      <w:r>
        <w:rPr>
          <w:rFonts w:ascii="Arial" w:cs="Arial" w:eastAsia="Arial" w:hAnsi="Arial"/>
          <w:b/>
          <w:bCs/>
          <w:color w:val="0A1628"/>
          <w:sz w:val="44"/>
          <w:szCs w:val="44"/>
        </w:rPr>
        <w:t xml:space="preserve">IMPACT OBSERVATORY</w:t>
      </w:r>
    </w:p>
    <w:p>
      <w:pPr>
        <w:spacing w:after="40"/>
        <w:jc w:val="center"/>
      </w:pPr>
      <w:r>
        <w:rPr>
          <w:rFonts w:ascii="Arial" w:cs="Arial" w:eastAsia="Arial" w:hAnsi="Arial"/>
          <w:color w:val="2563EB"/>
          <w:sz w:val="36"/>
          <w:szCs w:val="36"/>
        </w:rPr>
        <w:t xml:space="preserve">مرصد الأثر</w:t>
      </w:r>
    </w:p>
    <w:p>
      <w:pPr>
        <w:spacing w:after="200" w:before="200"/>
      </w:pPr>
    </w:p>
    <w:p>
      <w:pPr>
        <w:pBdr>
          <w:top w:val="single" w:color="2563EB" w:sz="2" w:space="12"/>
        </w:pBdr>
        <w:spacing w:after="200" w:before="200"/>
        <w:jc w:val="center"/>
      </w:pPr>
      <w:r>
        <w:rPr>
          <w:rFonts w:ascii="Arial" w:cs="Arial" w:eastAsia="Arial" w:hAnsi="Arial"/>
          <w:b/>
          <w:bCs/>
          <w:color w:val="1E3A5F"/>
          <w:sz w:val="36"/>
          <w:szCs w:val="36"/>
        </w:rPr>
        <w:t xml:space="preserve">GO-TO-MARKET STRATEGY</w:t>
      </w:r>
    </w:p>
    <w:p>
      <w:pPr>
        <w:spacing w:after="100"/>
        <w:jc w:val="center"/>
      </w:pPr>
      <w:r>
        <w:rPr>
          <w:rFonts w:ascii="Arial" w:cs="Arial" w:eastAsia="Arial" w:hAnsi="Arial"/>
          <w:color w:val="6B7280"/>
          <w:sz w:val="22"/>
          <w:szCs w:val="22"/>
        </w:rPr>
        <w:t xml:space="preserve">Enterprise Decision Intelligence for GCC Financial Infrastructure</w:t>
      </w:r>
    </w:p>
    <w:p>
      <w:pPr>
        <w:spacing w:after="800" w:before="800"/>
      </w:pPr>
    </w:p>
    <w:p>
      <w:pPr>
        <w:spacing w:after="60"/>
        <w:jc w:val="center"/>
      </w:pPr>
      <w:r>
        <w:rPr>
          <w:rFonts w:ascii="Arial" w:cs="Arial" w:eastAsia="Arial" w:hAnsi="Arial"/>
          <w:b/>
          <w:bCs/>
          <w:color w:val="DC2626"/>
          <w:sz w:val="20"/>
          <w:szCs w:val="20"/>
        </w:rPr>
        <w:t xml:space="preserve">CONFIDENTIAL</w:t>
      </w:r>
    </w:p>
    <w:p>
      <w:pPr>
        <w:spacing w:after="60"/>
        <w:jc w:val="center"/>
      </w:pPr>
      <w:r>
        <w:rPr>
          <w:rFonts w:ascii="Arial" w:cs="Arial" w:eastAsia="Arial" w:hAnsi="Arial"/>
          <w:color w:val="6B7280"/>
          <w:sz w:val="20"/>
          <w:szCs w:val="20"/>
        </w:rPr>
        <w:t xml:space="preserve">Deevo Analytics  |  April 2026</w:t>
      </w:r>
    </w:p>
    <w:p>
      <w:pPr>
        <w:jc w:val="center"/>
      </w:pPr>
      <w:r>
        <w:rPr>
          <w:rFonts w:ascii="Arial" w:cs="Arial" w:eastAsia="Arial" w:hAnsi="Arial"/>
          <w:color w:val="6B7280"/>
          <w:sz w:val="18"/>
          <w:szCs w:val="18"/>
        </w:rPr>
        <w:t xml:space="preserve">v1.0  |  Chief GTM Strategist Brief</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A1628"/>
          <w:sz w:val="32"/>
          <w:szCs w:val="32"/>
        </w:rPr>
        <w:t xml:space="preserve">1. Executive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20"/>
              <w:left w:type="dxa" w:w="200"/>
              <w:bottom w:type="dxa" w:w="120"/>
              <w:right w:type="dxa" w:w="200"/>
            </w:tcMar>
          </w:tcPr>
          <w:p>
            <w:pPr>
              <w:spacing w:after="80"/>
            </w:pPr>
            <w:r>
              <w:rPr>
                <w:rFonts w:ascii="Arial" w:cs="Arial" w:eastAsia="Arial" w:hAnsi="Arial"/>
                <w:b/>
                <w:bCs/>
                <w:color w:val="0A1628"/>
                <w:sz w:val="21"/>
                <w:szCs w:val="21"/>
              </w:rPr>
              <w:t xml:space="preserve">One-Liner: </w:t>
            </w:r>
            <w:r>
              <w:rPr>
                <w:rFonts w:ascii="Arial" w:cs="Arial" w:eastAsia="Arial" w:hAnsi="Arial"/>
                <w:color w:val="374151"/>
                <w:sz w:val="21"/>
                <w:szCs w:val="21"/>
              </w:rPr>
              <w:t xml:space="preserve">Impact Observatory is the first deterministic decision intelligence system purpose-built for GCC financial infrastructure risk. It models how a single event—a Hormuz blockage, a banking liquidity shock, a cyber attack on SWIFT—cascades across 42 interconnected nodes spanning 9 sectors, then generates ranked operator actions with regulatory risk scoring, IFRS 17 compliance, and SHA-256 audit trails.</w:t>
            </w:r>
          </w:p>
        </w:tc>
      </w:tr>
    </w:tbl>
    <w:p>
      <w:pPr>
        <w:spacing w:after="80" w:before="80"/>
      </w:pPr>
    </w:p>
    <w:p>
      <w:pPr>
        <w:spacing w:after="120" w:line="276"/>
      </w:pPr>
      <w:r>
        <w:rPr>
          <w:rFonts w:ascii="Arial" w:cs="Arial" w:eastAsia="Arial" w:hAnsi="Arial"/>
          <w:color w:val="374151"/>
          <w:sz w:val="21"/>
          <w:szCs w:val="21"/>
        </w:rPr>
        <w:t xml:space="preserve">This is not a dashboard. It is not a BI layer. It is a simulation engine with a 17-stage computational pipeline that produces auditable, deterministic outputs from scenario injection to decision recommendation. Every run is reproducible. Every number is traceable.</w:t>
      </w:r>
    </w:p>
    <w:p>
      <w:pPr>
        <w:pStyle w:val="Heading2"/>
        <w:spacing w:after="160" w:before="280"/>
      </w:pPr>
      <w:r>
        <w:rPr>
          <w:rFonts w:ascii="Arial" w:cs="Arial" w:eastAsia="Arial" w:hAnsi="Arial"/>
          <w:b/>
          <w:bCs/>
          <w:color w:val="1E3A5F"/>
          <w:sz w:val="26"/>
          <w:szCs w:val="26"/>
        </w:rPr>
        <w:t xml:space="preserve">What We Sell</w:t>
      </w:r>
    </w:p>
    <w:p>
      <w:pPr>
        <w:spacing w:after="120" w:line="276"/>
      </w:pPr>
      <w:r>
        <w:rPr>
          <w:rFonts w:ascii="Arial" w:cs="Arial" w:eastAsia="Arial" w:hAnsi="Arial"/>
          <w:color w:val="374151"/>
          <w:sz w:val="21"/>
          <w:szCs w:val="21"/>
        </w:rPr>
        <w:t xml:space="preserve">We sell the answer to one question that every GCC central bank, insurer, sovereign fund, and systemically important bank needs answered but cannot answer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20"/>
              <w:left w:type="dxa" w:w="200"/>
              <w:bottom w:type="dxa" w:w="120"/>
              <w:right w:type="dxa" w:w="200"/>
            </w:tcMar>
          </w:tcPr>
          <w:p>
            <w:pPr>
              <w:jc w:val="center"/>
            </w:pPr>
            <w:r>
              <w:rPr>
                <w:rFonts w:ascii="Arial" w:cs="Arial" w:eastAsia="Arial" w:hAnsi="Arial"/>
                <w:i/>
                <w:iCs/>
                <w:color w:val="1E3A5F"/>
                <w:sz w:val="22"/>
                <w:szCs w:val="22"/>
              </w:rPr>
              <w:t xml:space="preserve">"If [scenario X] happens in the next 72 hours, which sectors cascade, what is the total loss exposure, and what actions should we take—in what order—to minimize systemic damage?"</w:t>
            </w:r>
          </w:p>
        </w:tc>
      </w:tr>
    </w:tbl>
    <w:p>
      <w:pPr>
        <w:spacing w:after="60" w:before="60"/>
      </w:pPr>
    </w:p>
    <w:p>
      <w:pPr>
        <w:spacing w:after="120" w:line="276"/>
      </w:pPr>
      <w:r>
        <w:rPr>
          <w:rFonts w:ascii="Arial" w:cs="Arial" w:eastAsia="Arial" w:hAnsi="Arial"/>
          <w:color w:val="374151"/>
          <w:sz w:val="21"/>
          <w:szCs w:val="21"/>
        </w:rPr>
        <w:t xml:space="preserve">Nobody else answers this question for the GCC. Global risk platforms (Moody’s, Bloomberg PORT, Verisk) model single-sector risk in Western markets. They do not model cross-sector cascade in a Hormuz-dependent, oil-denominated, IFRS 17-governed, Arabic-bilingual financial ecosystem.</w:t>
      </w:r>
    </w:p>
    <w:p>
      <w:pPr>
        <w:pStyle w:val="Heading2"/>
        <w:spacing w:after="160" w:before="280"/>
      </w:pPr>
      <w:r>
        <w:rPr>
          <w:rFonts w:ascii="Arial" w:cs="Arial" w:eastAsia="Arial" w:hAnsi="Arial"/>
          <w:b/>
          <w:bCs/>
          <w:color w:val="1E3A5F"/>
          <w:sz w:val="26"/>
          <w:szCs w:val="26"/>
        </w:rPr>
        <w:t xml:space="preserve">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32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Observatory</w:t>
            </w:r>
          </w:p>
        </w:tc>
        <w:tc>
          <w:tcPr>
            <w:tcW w:type="dxa" w:w="32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Global Incumbents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Knowledge Graph</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42-node GCC-native (Hormuz, Aramco, SAMA, Jebel Ali, SWIFT GCC, mada...)</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Generic global; GCC is a footnote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Cascade Modeling</w:t>
            </w:r>
          </w:p>
        </w:tc>
        <w:tc>
          <w:tcPr>
            <w:tcW w:type="dxa" w:w="32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Cross-sector propagation: maritime → energy → banking → insurance → fintech</w:t>
            </w:r>
          </w:p>
        </w:tc>
        <w:tc>
          <w:tcPr>
            <w:tcW w:type="dxa" w:w="32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Single-sector stress tests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Decision Layer</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Ranked actions with owner, cost, loss avoided, regulatory risk, IFRS 17 flags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Risk score only; no action generation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Auditability</w:t>
            </w:r>
          </w:p>
        </w:tc>
        <w:tc>
          <w:tcPr>
            <w:tcW w:type="dxa" w:w="32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SHA-256 audit hash, deterministic pipeline, full trace ID per run</w:t>
            </w:r>
          </w:p>
        </w:tc>
        <w:tc>
          <w:tcPr>
            <w:tcW w:type="dxa" w:w="32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Black-box ML models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Compliance</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IFRS 17 native, PDPL-ready, GCC regulatory references in actions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Western regulatory focus (Basel/Solvency II)</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Language</w:t>
            </w:r>
          </w:p>
        </w:tc>
        <w:tc>
          <w:tcPr>
            <w:tcW w:type="dxa" w:w="32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Arabic/English bilingual (labels, actions, narratives)</w:t>
            </w:r>
          </w:p>
        </w:tc>
        <w:tc>
          <w:tcPr>
            <w:tcW w:type="dxa" w:w="32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English only</w:t>
            </w:r>
          </w:p>
        </w:tc>
      </w:tr>
    </w:tbl>
    <w:p>
      <w:r>
        <w:br w:type="page"/>
      </w:r>
    </w:p>
    <w:p>
      <w:pPr>
        <w:pStyle w:val="Heading1"/>
        <w:spacing w:after="200" w:before="360"/>
      </w:pPr>
      <w:r>
        <w:rPr>
          <w:rFonts w:ascii="Arial" w:cs="Arial" w:eastAsia="Arial" w:hAnsi="Arial"/>
          <w:b/>
          <w:bCs/>
          <w:color w:val="0A1628"/>
          <w:sz w:val="32"/>
          <w:szCs w:val="32"/>
        </w:rPr>
        <w:t xml:space="preserve">2. Target Customer Segments</w:t>
      </w:r>
    </w:p>
    <w:p>
      <w:pPr>
        <w:spacing w:after="120" w:line="276"/>
      </w:pPr>
      <w:r>
        <w:rPr>
          <w:rFonts w:ascii="Arial" w:cs="Arial" w:eastAsia="Arial" w:hAnsi="Arial"/>
          <w:color w:val="374151"/>
          <w:sz w:val="21"/>
          <w:szCs w:val="21"/>
        </w:rPr>
        <w:t xml:space="preserve">Three tiers, sequenced by conversion speed, deal size, and strategic leverage. Tier 1 accounts are the beachhead—they have the clearest pain, the largest budgets, and the regulatory authority to mandate adoption downstream.</w:t>
      </w:r>
    </w:p>
    <w:p>
      <w:pPr>
        <w:pStyle w:val="Heading2"/>
        <w:spacing w:after="160" w:before="280"/>
      </w:pPr>
      <w:r>
        <w:rPr>
          <w:rFonts w:ascii="Arial" w:cs="Arial" w:eastAsia="Arial" w:hAnsi="Arial"/>
          <w:b/>
          <w:bCs/>
          <w:color w:val="1E3A5F"/>
          <w:sz w:val="26"/>
          <w:szCs w:val="26"/>
        </w:rPr>
        <w:t xml:space="preserve">Tier 1: Regulators &amp; Central Banks</w:t>
      </w:r>
    </w:p>
    <w:p>
      <w:pPr>
        <w:spacing w:after="100" w:line="276"/>
      </w:pPr>
      <w:r>
        <w:rPr>
          <w:rFonts w:ascii="Arial" w:cs="Arial" w:eastAsia="Arial" w:hAnsi="Arial"/>
          <w:b/>
          <w:bCs/>
          <w:color w:val="0A1628"/>
          <w:sz w:val="21"/>
          <w:szCs w:val="21"/>
        </w:rPr>
        <w:t xml:space="preserve">Pain: </w:t>
      </w:r>
      <w:r>
        <w:rPr>
          <w:rFonts w:ascii="Arial" w:cs="Arial" w:eastAsia="Arial" w:hAnsi="Arial"/>
          <w:color w:val="374151"/>
          <w:sz w:val="21"/>
          <w:szCs w:val="21"/>
        </w:rPr>
        <w:t xml:space="preserve">No cross-sector systemic risk simulation exists for GCC. SAMA, CBUAE, and CBB rely on single-sector stress tests (Basel ICAAP) that cannot model how a Hormuz closure cascades from maritime through energy into banking liquidity and insurance claims simultaneously.</w:t>
      </w:r>
    </w:p>
    <w:p>
      <w:pPr>
        <w:spacing w:after="100" w:line="276"/>
      </w:pPr>
      <w:r>
        <w:rPr>
          <w:rFonts w:ascii="Arial" w:cs="Arial" w:eastAsia="Arial" w:hAnsi="Arial"/>
          <w:b/>
          <w:bCs/>
          <w:color w:val="0A1628"/>
          <w:sz w:val="21"/>
          <w:szCs w:val="21"/>
        </w:rPr>
        <w:t xml:space="preserve">Budget: </w:t>
      </w:r>
      <w:r>
        <w:rPr>
          <w:rFonts w:ascii="Arial" w:cs="Arial" w:eastAsia="Arial" w:hAnsi="Arial"/>
          <w:color w:val="374151"/>
          <w:sz w:val="21"/>
          <w:szCs w:val="21"/>
        </w:rPr>
        <w:t xml:space="preserve">$500K–$2M annual for risk intelligence platforms. Procurement through direct RFP or national security advisory channel.</w:t>
      </w:r>
    </w:p>
    <w:p>
      <w:pPr>
        <w:spacing w:after="100" w:line="276"/>
      </w:pPr>
      <w:r>
        <w:rPr>
          <w:rFonts w:ascii="Arial" w:cs="Arial" w:eastAsia="Arial" w:hAnsi="Arial"/>
          <w:b/>
          <w:bCs/>
          <w:color w:val="0A1628"/>
          <w:sz w:val="21"/>
          <w:szCs w:val="21"/>
        </w:rPr>
        <w:t xml:space="preserve">Decision Cycle: </w:t>
      </w:r>
      <w:r>
        <w:rPr>
          <w:rFonts w:ascii="Arial" w:cs="Arial" w:eastAsia="Arial" w:hAnsi="Arial"/>
          <w:color w:val="374151"/>
          <w:sz w:val="21"/>
          <w:szCs w:val="21"/>
        </w:rPr>
        <w:t xml:space="preserve">6–9 months. Requires sandbox evaluation + technical audit.</w:t>
      </w:r>
    </w:p>
    <w:p>
      <w:pPr>
        <w:spacing w:after="120" w:before="200"/>
      </w:pPr>
      <w:r>
        <w:rPr>
          <w:rFonts w:ascii="Arial" w:cs="Arial" w:eastAsia="Arial" w:hAnsi="Arial"/>
          <w:b/>
          <w:bCs/>
          <w:color w:val="2563EB"/>
          <w:sz w:val="22"/>
          <w:szCs w:val="22"/>
        </w:rPr>
        <w:t xml:space="preserve">Named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w:t>
            </w:r>
          </w:p>
        </w:tc>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Country</w:t>
            </w:r>
          </w:p>
        </w:tc>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Entry Point</w:t>
            </w:r>
          </w:p>
        </w:tc>
        <w:tc>
          <w:tcPr>
            <w:tcW w:type="dxa" w:w="2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 Hook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SAMA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Saudi Arabia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Financial Stability Dept.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saudi_oil_shock + regional_liquidity_stress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CBUAE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Risk &amp; Compliance Division</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uae_banking_crisis + hormuz_disruption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CBB</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Bahrain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Financial Stability Unit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bahrain_sovereign_stress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Insurance Authority (IA)</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Prudential Regulation</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IFRS 17 catastrophe reserving demo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CMA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Saudi Arabia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Market Risk Division</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energy_market_volatility_shock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sz="0"/>
              <w:bottom w:val="none" w:sz="0"/>
              <w:right w:val="none" w:sz="0"/>
            </w:tcBorders>
            <w:shd w:fill="FFFBEB" w:val="clear"/>
            <w:tcMar>
              <w:top w:type="dxa" w:w="120"/>
              <w:left w:type="dxa" w:w="200"/>
              <w:bottom w:type="dxa" w:w="120"/>
              <w:right w:type="dxa" w:w="200"/>
            </w:tcMar>
          </w:tcPr>
          <w:p>
            <w:pPr>
              <w:spacing w:after="60"/>
            </w:pPr>
            <w:r>
              <w:rPr>
                <w:rFonts w:ascii="Arial" w:cs="Arial" w:eastAsia="Arial" w:hAnsi="Arial"/>
                <w:b/>
                <w:bCs/>
                <w:color w:val="2563EB"/>
                <w:sz w:val="20"/>
                <w:szCs w:val="20"/>
              </w:rPr>
              <w:t xml:space="preserve">STRATEGIC LEVERAGE</w:t>
            </w:r>
          </w:p>
          <w:p>
            <w:r>
              <w:rPr>
                <w:rFonts w:ascii="Arial" w:cs="Arial" w:eastAsia="Arial" w:hAnsi="Arial"/>
                <w:color w:val="374151"/>
                <w:sz w:val="19"/>
                <w:szCs w:val="19"/>
              </w:rPr>
              <w:t xml:space="preserve">A single regulator adoption creates downstream mandated demand. If SAMA deploys Impact Observatory for systemic risk monitoring, every systemically important bank in Saudi Arabia needs compatible stress testing. This is the force multiplier.</w:t>
            </w:r>
          </w:p>
        </w:tc>
      </w:tr>
    </w:tbl>
    <w:p>
      <w:pPr>
        <w:spacing w:after="120" w:before="120"/>
      </w:pPr>
    </w:p>
    <w:p>
      <w:pPr>
        <w:pStyle w:val="Heading2"/>
        <w:spacing w:after="160" w:before="280"/>
      </w:pPr>
      <w:r>
        <w:rPr>
          <w:rFonts w:ascii="Arial" w:cs="Arial" w:eastAsia="Arial" w:hAnsi="Arial"/>
          <w:b/>
          <w:bCs/>
          <w:color w:val="1E3A5F"/>
          <w:sz w:val="26"/>
          <w:szCs w:val="26"/>
        </w:rPr>
        <w:t xml:space="preserve">Tier 2: Sovereign Wealth Funds &amp; National Oil Companies</w:t>
      </w:r>
    </w:p>
    <w:p>
      <w:pPr>
        <w:spacing w:after="100" w:line="276"/>
      </w:pPr>
      <w:r>
        <w:rPr>
          <w:rFonts w:ascii="Arial" w:cs="Arial" w:eastAsia="Arial" w:hAnsi="Arial"/>
          <w:b/>
          <w:bCs/>
          <w:color w:val="0A1628"/>
          <w:sz w:val="21"/>
          <w:szCs w:val="21"/>
        </w:rPr>
        <w:t xml:space="preserve">Pain: </w:t>
      </w:r>
      <w:r>
        <w:rPr>
          <w:rFonts w:ascii="Arial" w:cs="Arial" w:eastAsia="Arial" w:hAnsi="Arial"/>
          <w:color w:val="374151"/>
          <w:sz w:val="21"/>
          <w:szCs w:val="21"/>
        </w:rPr>
        <w:t xml:space="preserve">Portfolio stress testing for GCC-specific geopolitical scenarios. PIF, ADIA, KIA, and QIA hold trillions in assets correlated to GCC infrastructure. They need to model what happens to their portfolio when Hormuz closes or energy prices crash.</w:t>
      </w:r>
    </w:p>
    <w:p>
      <w:pPr>
        <w:spacing w:after="100" w:line="276"/>
      </w:pPr>
      <w:r>
        <w:rPr>
          <w:rFonts w:ascii="Arial" w:cs="Arial" w:eastAsia="Arial" w:hAnsi="Arial"/>
          <w:b/>
          <w:bCs/>
          <w:color w:val="0A1628"/>
          <w:sz w:val="21"/>
          <w:szCs w:val="21"/>
        </w:rPr>
        <w:t xml:space="preserve">Budget: </w:t>
      </w:r>
      <w:r>
        <w:rPr>
          <w:rFonts w:ascii="Arial" w:cs="Arial" w:eastAsia="Arial" w:hAnsi="Arial"/>
          <w:color w:val="374151"/>
          <w:sz w:val="21"/>
          <w:szCs w:val="21"/>
        </w:rPr>
        <w:t xml:space="preserve">$300K–$1.5M. Procurement through investment risk office or CRO.</w:t>
      </w:r>
    </w:p>
    <w:p>
      <w:pPr>
        <w:spacing w:after="100" w:line="276"/>
      </w:pPr>
      <w:r>
        <w:rPr>
          <w:rFonts w:ascii="Arial" w:cs="Arial" w:eastAsia="Arial" w:hAnsi="Arial"/>
          <w:b/>
          <w:bCs/>
          <w:color w:val="0A1628"/>
          <w:sz w:val="21"/>
          <w:szCs w:val="21"/>
        </w:rPr>
        <w:t xml:space="preserve">Decision Cycle: </w:t>
      </w:r>
      <w:r>
        <w:rPr>
          <w:rFonts w:ascii="Arial" w:cs="Arial" w:eastAsia="Arial" w:hAnsi="Arial"/>
          <w:color w:val="374151"/>
          <w:sz w:val="21"/>
          <w:szCs w:val="21"/>
        </w:rPr>
        <w:t xml:space="preserve">4–6 months. Faster if positioned as a scenario planning tool, not an IT procurement.</w:t>
      </w:r>
    </w:p>
    <w:p>
      <w:pPr>
        <w:spacing w:after="120" w:before="200"/>
      </w:pPr>
      <w:r>
        <w:rPr>
          <w:rFonts w:ascii="Arial" w:cs="Arial" w:eastAsia="Arial" w:hAnsi="Arial"/>
          <w:b/>
          <w:bCs/>
          <w:color w:val="2563EB"/>
          <w:sz w:val="22"/>
          <w:szCs w:val="22"/>
        </w:rPr>
        <w:t xml:space="preserve">Named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w:t>
            </w:r>
          </w:p>
        </w:tc>
        <w:tc>
          <w:tcPr>
            <w:tcW w:type="dxa" w:w="2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Country</w:t>
            </w:r>
          </w:p>
        </w:tc>
        <w:tc>
          <w:tcPr>
            <w:tcW w:type="dxa" w:w="2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Entry Point</w:t>
            </w:r>
          </w:p>
        </w:tc>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 Hook</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Public Investment Fund (PIF)</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Saudi Arabia</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Risk Management Office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saudi_oil_shock + iran_escalation</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ADIA</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Portfolio Risk Division</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hormuz_full_closure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KIA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Kuwait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Strategic Planning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kuwait_fiscal_shock</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Saudi Aramco</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Saudi Arabia</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Enterprise Risk Mgmt</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hormuz + oil_shock supply chain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ADNOC</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Strategic Risk Office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hormuz_chokepoint_disruption</w:t>
            </w:r>
          </w:p>
        </w:tc>
      </w:tr>
    </w:tbl>
    <w:p>
      <w:pPr>
        <w:spacing w:after="120" w:before="120"/>
      </w:pPr>
    </w:p>
    <w:p>
      <w:pPr>
        <w:pStyle w:val="Heading2"/>
        <w:spacing w:after="160" w:before="280"/>
      </w:pPr>
      <w:r>
        <w:rPr>
          <w:rFonts w:ascii="Arial" w:cs="Arial" w:eastAsia="Arial" w:hAnsi="Arial"/>
          <w:b/>
          <w:bCs/>
          <w:color w:val="1E3A5F"/>
          <w:sz w:val="26"/>
          <w:szCs w:val="26"/>
        </w:rPr>
        <w:t xml:space="preserve">Tier 3: Systemically Important Banks &amp; Insurers</w:t>
      </w:r>
    </w:p>
    <w:p>
      <w:pPr>
        <w:spacing w:after="100" w:line="276"/>
      </w:pPr>
      <w:r>
        <w:rPr>
          <w:rFonts w:ascii="Arial" w:cs="Arial" w:eastAsia="Arial" w:hAnsi="Arial"/>
          <w:b/>
          <w:bCs/>
          <w:color w:val="0A1628"/>
          <w:sz w:val="21"/>
          <w:szCs w:val="21"/>
        </w:rPr>
        <w:t xml:space="preserve">Pain: </w:t>
      </w:r>
      <w:r>
        <w:rPr>
          <w:rFonts w:ascii="Arial" w:cs="Arial" w:eastAsia="Arial" w:hAnsi="Arial"/>
          <w:color w:val="374151"/>
          <w:sz w:val="21"/>
          <w:szCs w:val="21"/>
        </w:rPr>
        <w:t xml:space="preserve">Basel III/IV stress testing is single-sector and backward-looking. Insurers face IFRS 17 compliance pressure with no GCC-specific catastrophe modeling tool. Both need forward-looking scenario simulation tied to GCC-specific threats.</w:t>
      </w:r>
    </w:p>
    <w:p>
      <w:pPr>
        <w:spacing w:after="100" w:line="276"/>
      </w:pPr>
      <w:r>
        <w:rPr>
          <w:rFonts w:ascii="Arial" w:cs="Arial" w:eastAsia="Arial" w:hAnsi="Arial"/>
          <w:b/>
          <w:bCs/>
          <w:color w:val="0A1628"/>
          <w:sz w:val="21"/>
          <w:szCs w:val="21"/>
        </w:rPr>
        <w:t xml:space="preserve">Budget: </w:t>
      </w:r>
      <w:r>
        <w:rPr>
          <w:rFonts w:ascii="Arial" w:cs="Arial" w:eastAsia="Arial" w:hAnsi="Arial"/>
          <w:color w:val="374151"/>
          <w:sz w:val="21"/>
          <w:szCs w:val="21"/>
        </w:rPr>
        <w:t xml:space="preserve">$150K–$600K. Procurement through CRO or Head of Actuarial.</w:t>
      </w:r>
    </w:p>
    <w:p>
      <w:pPr>
        <w:spacing w:after="100" w:line="276"/>
      </w:pPr>
      <w:r>
        <w:rPr>
          <w:rFonts w:ascii="Arial" w:cs="Arial" w:eastAsia="Arial" w:hAnsi="Arial"/>
          <w:b/>
          <w:bCs/>
          <w:color w:val="0A1628"/>
          <w:sz w:val="21"/>
          <w:szCs w:val="21"/>
        </w:rPr>
        <w:t xml:space="preserve">Decision Cycle: </w:t>
      </w:r>
      <w:r>
        <w:rPr>
          <w:rFonts w:ascii="Arial" w:cs="Arial" w:eastAsia="Arial" w:hAnsi="Arial"/>
          <w:color w:val="374151"/>
          <w:sz w:val="21"/>
          <w:szCs w:val="21"/>
        </w:rPr>
        <w:t xml:space="preserve">3–6 months. Fastest tier if regulator is already using the platform (mandated compatibility).</w:t>
      </w:r>
    </w:p>
    <w:p>
      <w:pPr>
        <w:spacing w:after="120" w:before="200"/>
      </w:pPr>
      <w:r>
        <w:rPr>
          <w:rFonts w:ascii="Arial" w:cs="Arial" w:eastAsia="Arial" w:hAnsi="Arial"/>
          <w:b/>
          <w:bCs/>
          <w:color w:val="2563EB"/>
          <w:sz w:val="22"/>
          <w:szCs w:val="22"/>
        </w:rPr>
        <w:t xml:space="preserve">Named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560"/>
        <w:gridCol w:w="2400"/>
      </w:tblGrid>
      <w:tr>
        <w:tc>
          <w:tcPr>
            <w:tcW w:type="dxa" w:w="2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w:t>
            </w:r>
          </w:p>
        </w:tc>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Country</w:t>
            </w:r>
          </w:p>
        </w:tc>
        <w:tc>
          <w:tcPr>
            <w:tcW w:type="dxa" w:w="2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Entry Point</w:t>
            </w:r>
          </w:p>
        </w:tc>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Use Case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First Abu Dhabi Bank (FAB)</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Group CRO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Cross-sector stress test</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Saudi National Bank (SNB)</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Saudi Arabia</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Risk Analytics</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Hormuz / oil supply chain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Emirates NBD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Treasury &amp; Risk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Liquidity stress simulation</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Qatar Insurance Company</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Qatar</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Head of Actuarial</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IFRS 17 catastrophe reserving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SALAMA Islamic Insurance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UAE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Chief Actuary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Marine P&amp;I claims cascade</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Gulf Insurance Group</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Kuwait</w:t>
            </w:r>
          </w:p>
        </w:tc>
        <w:tc>
          <w:tcPr>
            <w:tcW w:type="dxa" w:w="2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Reinsurance Desk</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Multi-scenario loss estimation</w:t>
            </w:r>
          </w:p>
        </w:tc>
      </w:tr>
    </w:tbl>
    <w:p>
      <w:r>
        <w:br w:type="page"/>
      </w:r>
    </w:p>
    <w:p>
      <w:pPr>
        <w:pStyle w:val="Heading1"/>
        <w:spacing w:after="200" w:before="360"/>
      </w:pPr>
      <w:r>
        <w:rPr>
          <w:rFonts w:ascii="Arial" w:cs="Arial" w:eastAsia="Arial" w:hAnsi="Arial"/>
          <w:b/>
          <w:bCs/>
          <w:color w:val="0A1628"/>
          <w:sz w:val="32"/>
          <w:szCs w:val="32"/>
        </w:rPr>
        <w:t xml:space="preserve">3. Enterprise Outreach Plan</w:t>
      </w:r>
    </w:p>
    <w:p>
      <w:pPr>
        <w:spacing w:after="120" w:line="276"/>
      </w:pPr>
      <w:r>
        <w:rPr>
          <w:rFonts w:ascii="Arial" w:cs="Arial" w:eastAsia="Arial" w:hAnsi="Arial"/>
          <w:color w:val="374151"/>
          <w:sz w:val="21"/>
          <w:szCs w:val="21"/>
        </w:rPr>
        <w:t xml:space="preserve">Outreach is NOT marketing. It is precision account penetration. Every touch delivers proprietary intelligence the prospect cannot get elsewhere.</w:t>
      </w:r>
    </w:p>
    <w:p>
      <w:pPr>
        <w:pStyle w:val="Heading2"/>
        <w:spacing w:after="160" w:before="280"/>
      </w:pPr>
      <w:r>
        <w:rPr>
          <w:rFonts w:ascii="Arial" w:cs="Arial" w:eastAsia="Arial" w:hAnsi="Arial"/>
          <w:b/>
          <w:bCs/>
          <w:color w:val="1E3A5F"/>
          <w:sz w:val="26"/>
          <w:szCs w:val="26"/>
        </w:rPr>
        <w:t xml:space="preserve">3.1 The Intelligence Brief (Door Opener)</w:t>
      </w:r>
    </w:p>
    <w:p>
      <w:pPr>
        <w:spacing w:after="120" w:line="276"/>
      </w:pPr>
      <w:r>
        <w:rPr>
          <w:rFonts w:ascii="Arial" w:cs="Arial" w:eastAsia="Arial" w:hAnsi="Arial"/>
          <w:color w:val="374151"/>
          <w:sz w:val="21"/>
          <w:szCs w:val="21"/>
        </w:rPr>
        <w:t xml:space="preserve">For each Tier 1 named account, produce a bespoke 4-page intelligence brief that runs their specific scenario through Impact Observatory and presents actual simulation output. This is not a brochure—it is a deliverable.</w:t>
      </w:r>
    </w:p>
    <w:p>
      <w:pPr>
        <w:spacing w:after="120" w:before="200"/>
      </w:pPr>
      <w:r>
        <w:rPr>
          <w:rFonts w:ascii="Arial" w:cs="Arial" w:eastAsia="Arial" w:hAnsi="Arial"/>
          <w:b/>
          <w:bCs/>
          <w:color w:val="2563EB"/>
          <w:sz w:val="22"/>
          <w:szCs w:val="22"/>
        </w:rPr>
        <w:t xml:space="preserve">Brief Structure</w:t>
      </w:r>
    </w:p>
    <w:p>
      <w:pPr>
        <w:pStyle w:val="ListParagraph"/>
        <w:numPr>
          <w:ilvl w:val="0"/>
          <w:numId w:val="2"/>
        </w:numPr>
        <w:spacing w:after="80" w:line="276"/>
      </w:pPr>
      <w:r>
        <w:rPr>
          <w:rFonts w:ascii="Arial" w:cs="Arial" w:eastAsia="Arial" w:hAnsi="Arial"/>
          <w:color w:val="374151"/>
          <w:sz w:val="21"/>
          <w:szCs w:val="21"/>
        </w:rPr>
        <w:t xml:space="preserve">Scenario injection: their country, their infrastructure, their threat vector</w:t>
      </w:r>
    </w:p>
    <w:p>
      <w:pPr>
        <w:pStyle w:val="ListParagraph"/>
        <w:numPr>
          <w:ilvl w:val="0"/>
          <w:numId w:val="2"/>
        </w:numPr>
        <w:spacing w:after="80" w:line="276"/>
      </w:pPr>
      <w:r>
        <w:rPr>
          <w:rFonts w:ascii="Arial" w:cs="Arial" w:eastAsia="Arial" w:hAnsi="Arial"/>
          <w:color w:val="374151"/>
          <w:sz w:val="21"/>
          <w:szCs w:val="21"/>
        </w:rPr>
        <w:t xml:space="preserve">Cascade map: 42-node graph showing propagation path through their financial ecosystem</w:t>
      </w:r>
    </w:p>
    <w:p>
      <w:pPr>
        <w:pStyle w:val="ListParagraph"/>
        <w:numPr>
          <w:ilvl w:val="0"/>
          <w:numId w:val="2"/>
        </w:numPr>
        <w:spacing w:after="80" w:line="276"/>
      </w:pPr>
      <w:r>
        <w:rPr>
          <w:rFonts w:ascii="Arial" w:cs="Arial" w:eastAsia="Arial" w:hAnsi="Arial"/>
          <w:color w:val="374151"/>
          <w:sz w:val="21"/>
          <w:szCs w:val="21"/>
        </w:rPr>
        <w:t xml:space="preserve">Loss quantification: sector-by-sector USD impact with confidence intervals</w:t>
      </w:r>
    </w:p>
    <w:p>
      <w:pPr>
        <w:pStyle w:val="ListParagraph"/>
        <w:numPr>
          <w:ilvl w:val="0"/>
          <w:numId w:val="2"/>
        </w:numPr>
        <w:spacing w:after="80" w:line="276"/>
      </w:pPr>
      <w:r>
        <w:rPr>
          <w:rFonts w:ascii="Arial" w:cs="Arial" w:eastAsia="Arial" w:hAnsi="Arial"/>
          <w:color w:val="374151"/>
          <w:sz w:val="21"/>
          <w:szCs w:val="21"/>
        </w:rPr>
        <w:t xml:space="preserve">Decision actions: top 3 ranked actions with owner, cost, loss avoided, and regulatory risk</w:t>
      </w:r>
    </w:p>
    <w:p>
      <w:pPr>
        <w:pStyle w:val="ListParagraph"/>
        <w:numPr>
          <w:ilvl w:val="0"/>
          <w:numId w:val="2"/>
        </w:numPr>
        <w:spacing w:after="80" w:line="276"/>
      </w:pPr>
      <w:r>
        <w:rPr>
          <w:rFonts w:ascii="Arial" w:cs="Arial" w:eastAsia="Arial" w:hAnsi="Arial"/>
          <w:color w:val="374151"/>
          <w:sz w:val="21"/>
          <w:szCs w:val="21"/>
        </w:rPr>
        <w:t xml:space="preserve">Audit trail: SHA-256 hash proving the output is deterministic and reproducible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none" w:sz="0"/>
              <w:bottom w:val="none" w:sz="0"/>
              <w:right w:val="none" w:sz="0"/>
            </w:tcBorders>
            <w:shd w:fill="FFFBEB" w:val="clear"/>
            <w:tcMar>
              <w:top w:type="dxa" w:w="120"/>
              <w:left w:type="dxa" w:w="200"/>
              <w:bottom w:type="dxa" w:w="120"/>
              <w:right w:type="dxa" w:w="200"/>
            </w:tcMar>
          </w:tcPr>
          <w:p>
            <w:pPr>
              <w:spacing w:after="60"/>
            </w:pPr>
            <w:r>
              <w:rPr>
                <w:rFonts w:ascii="Arial" w:cs="Arial" w:eastAsia="Arial" w:hAnsi="Arial"/>
                <w:b/>
                <w:bCs/>
                <w:color w:val="059669"/>
                <w:sz w:val="20"/>
                <w:szCs w:val="20"/>
              </w:rPr>
              <w:t xml:space="preserve">KEY PRINCIPLE</w:t>
            </w:r>
          </w:p>
          <w:p>
            <w:r>
              <w:rPr>
                <w:rFonts w:ascii="Arial" w:cs="Arial" w:eastAsia="Arial" w:hAnsi="Arial"/>
                <w:color w:val="374151"/>
                <w:sz w:val="19"/>
                <w:szCs w:val="19"/>
              </w:rPr>
              <w:t xml:space="preserve">The brief IS the product demo. The prospect reads their own scenario, sees their own institutions in the cascade, and realizes they have no equivalent capability. The ask is not "would you like a demo?"—it is "would you like to run your own scenarios?"</w:t>
            </w:r>
          </w:p>
        </w:tc>
      </w:tr>
    </w:tbl>
    <w:p>
      <w:pPr>
        <w:pStyle w:val="Heading2"/>
        <w:spacing w:after="160" w:before="280"/>
      </w:pPr>
      <w:r>
        <w:rPr>
          <w:rFonts w:ascii="Arial" w:cs="Arial" w:eastAsia="Arial" w:hAnsi="Arial"/>
          <w:b/>
          <w:bCs/>
          <w:color w:val="1E3A5F"/>
          <w:sz w:val="26"/>
          <w:szCs w:val="26"/>
        </w:rPr>
        <w:t xml:space="preserve">3.2 Delivery Channels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26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Channel</w:t>
            </w:r>
          </w:p>
        </w:tc>
        <w:tc>
          <w:tcPr>
            <w:tcW w:type="dxa" w:w="26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First Touch</w:t>
            </w:r>
          </w:p>
        </w:tc>
        <w:tc>
          <w:tcPr>
            <w:tcW w:type="dxa" w:w="26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Ask</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Regulators</w:t>
            </w:r>
          </w:p>
        </w:tc>
        <w:tc>
          <w:tcPr>
            <w:tcW w:type="dxa" w:w="26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Direct to Financial Stability Director via gov relations or advisory board intro</w:t>
            </w:r>
          </w:p>
        </w:tc>
        <w:tc>
          <w:tcPr>
            <w:tcW w:type="dxa" w:w="26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Deliver intelligence brief + offer sandbox evaluation</w:t>
            </w:r>
          </w:p>
        </w:tc>
        <w:tc>
          <w:tcPr>
            <w:tcW w:type="dxa" w:w="26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30-day sandbox pilot with their scenarios</w:t>
            </w:r>
          </w:p>
        </w:tc>
      </w:tr>
      <w:tr>
        <w:tc>
          <w:tcPr>
            <w:tcW w:type="dxa" w:w="1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SWFs / NOCs</w:t>
            </w:r>
          </w:p>
        </w:tc>
        <w:tc>
          <w:tcPr>
            <w:tcW w:type="dxa" w:w="26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CRO network, energy conference side meetings (ADIPEC, IPTC), Vision 2030 alignment</w:t>
            </w:r>
          </w:p>
        </w:tc>
        <w:tc>
          <w:tcPr>
            <w:tcW w:type="dxa" w:w="26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Portfolio stress test on Hormuz scenario with their asset mix</w:t>
            </w:r>
          </w:p>
        </w:tc>
        <w:tc>
          <w:tcPr>
            <w:tcW w:type="dxa" w:w="26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Paid proof-of-value (4 weeks, $50K)</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Banks / Insurers</w:t>
            </w:r>
          </w:p>
        </w:tc>
        <w:tc>
          <w:tcPr>
            <w:tcW w:type="dxa" w:w="26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CRO and Head of Actuarial direct outreach, reinsurance broker intro (Guy Carpenter, Aon GCC)</w:t>
            </w:r>
          </w:p>
        </w:tc>
        <w:tc>
          <w:tcPr>
            <w:tcW w:type="dxa" w:w="26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IFRS 17 compliance gap analysis using their loss history</w:t>
            </w:r>
          </w:p>
        </w:tc>
        <w:tc>
          <w:tcPr>
            <w:tcW w:type="dxa" w:w="26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Free scenario run; convert to 90-day pilot</w:t>
            </w:r>
          </w:p>
        </w:tc>
      </w:tr>
    </w:tbl>
    <w:p>
      <w:pPr>
        <w:pStyle w:val="Heading2"/>
        <w:spacing w:after="160" w:before="280"/>
      </w:pPr>
      <w:r>
        <w:rPr>
          <w:rFonts w:ascii="Arial" w:cs="Arial" w:eastAsia="Arial" w:hAnsi="Arial"/>
          <w:b/>
          <w:bCs/>
          <w:color w:val="1E3A5F"/>
          <w:sz w:val="26"/>
          <w:szCs w:val="26"/>
        </w:rPr>
        <w:t xml:space="preserve">3.3 Conference &amp; Event Strategy</w:t>
      </w:r>
    </w:p>
    <w:p>
      <w:pPr>
        <w:spacing w:after="120" w:line="276"/>
      </w:pPr>
      <w:r>
        <w:rPr>
          <w:rFonts w:ascii="Arial" w:cs="Arial" w:eastAsia="Arial" w:hAnsi="Arial"/>
          <w:color w:val="374151"/>
          <w:sz w:val="21"/>
          <w:szCs w:val="21"/>
        </w:rPr>
        <w:t xml:space="preserve">Do not sponsor booths. Instead, secure speaking slots and deliver live simulation runs from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Date / Location</w:t>
            </w:r>
          </w:p>
        </w:tc>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Audience</w:t>
            </w:r>
          </w:p>
        </w:tc>
        <w:tc>
          <w:tcPr>
            <w:tcW w:type="dxa" w:w="21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ADIPEC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Abu Dhabi, Nov 2026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NOCs, energy risk</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Live Hormuz scenario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GIFS (Gulf Insurance Forum)</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Bahrain, Q1 2027</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Insurers, actuaries</w:t>
            </w:r>
          </w:p>
        </w:tc>
        <w:tc>
          <w:tcPr>
            <w:tcW w:type="dxa" w:w="2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IFRS 17 catastrophe demo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Saudi Capital Market Forum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Riyadh, Q4 2026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CMA, banks, PIF</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Oil shock cascade demo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Fintech Abu Dhabi</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Abu Dhabi, Q4 2026</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CBUAE, fintech</w:t>
            </w:r>
          </w:p>
        </w:tc>
        <w:tc>
          <w:tcPr>
            <w:tcW w:type="dxa" w:w="2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Cyber attack on SWIFT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World Government Summit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Dubai, Feb 2027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Sovereign decision makers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Cross-GCC resilience brief</w:t>
            </w:r>
          </w:p>
        </w:tc>
      </w:tr>
    </w:tbl>
    <w:p>
      <w:r>
        <w:br w:type="page"/>
      </w:r>
    </w:p>
    <w:p>
      <w:pPr>
        <w:pStyle w:val="Heading1"/>
        <w:spacing w:after="200" w:before="360"/>
      </w:pPr>
      <w:r>
        <w:rPr>
          <w:rFonts w:ascii="Arial" w:cs="Arial" w:eastAsia="Arial" w:hAnsi="Arial"/>
          <w:b/>
          <w:bCs/>
          <w:color w:val="0A1628"/>
          <w:sz w:val="32"/>
          <w:szCs w:val="32"/>
        </w:rPr>
        <w:t xml:space="preserve">4. Demo Strategy</w:t>
      </w:r>
    </w:p>
    <w:p>
      <w:pPr>
        <w:spacing w:after="120" w:line="276"/>
      </w:pPr>
      <w:r>
        <w:rPr>
          <w:rFonts w:ascii="Arial" w:cs="Arial" w:eastAsia="Arial" w:hAnsi="Arial"/>
          <w:color w:val="374151"/>
          <w:sz w:val="21"/>
          <w:szCs w:val="21"/>
        </w:rPr>
        <w:t xml:space="preserve">The demo is not a product tour. It is a live simulation that produces intelligence the prospect cannot produce with any tool they currently own. Every demo is scenario-specific to the prospect’s mandate.</w:t>
      </w:r>
    </w:p>
    <w:p>
      <w:pPr>
        <w:pStyle w:val="Heading2"/>
        <w:spacing w:after="160" w:before="280"/>
      </w:pPr>
      <w:r>
        <w:rPr>
          <w:rFonts w:ascii="Arial" w:cs="Arial" w:eastAsia="Arial" w:hAnsi="Arial"/>
          <w:b/>
          <w:bCs/>
          <w:color w:val="1E3A5F"/>
          <w:sz w:val="26"/>
          <w:szCs w:val="26"/>
        </w:rPr>
        <w:t xml:space="preserve">4.1 Demo Architecture: The 7-Minute Protocol</w:t>
      </w:r>
    </w:p>
    <w:p>
      <w:pPr>
        <w:spacing w:after="120" w:line="276"/>
      </w:pPr>
      <w:r>
        <w:rPr>
          <w:rFonts w:ascii="Arial" w:cs="Arial" w:eastAsia="Arial" w:hAnsi="Arial"/>
          <w:color w:val="374151"/>
          <w:sz w:val="21"/>
          <w:szCs w:val="21"/>
        </w:rPr>
        <w:t xml:space="preserve">Every demo follows a strict 7-minute structure. No slides. The product IS the presentation.</w:t>
      </w:r>
    </w:p>
    <w:p>
      <w:pPr>
        <w:pStyle w:val="ListParagraph"/>
        <w:numPr>
          <w:ilvl w:val="0"/>
          <w:numId w:val="2"/>
        </w:numPr>
        <w:spacing w:after="80" w:line="276"/>
      </w:pPr>
      <w:r>
        <w:rPr>
          <w:rFonts w:ascii="Arial" w:cs="Arial" w:eastAsia="Arial" w:hAnsi="Arial"/>
          <w:color w:val="374151"/>
          <w:sz w:val="21"/>
          <w:szCs w:val="21"/>
        </w:rPr>
        <w:t xml:space="preserve">INJECT (60s): Select scenario from the 15-scenario catalog. Name the prospect’s country and sector. Example: "SAMA, let’s model what happens to the Saudi financial system if oil production drops 30% for 7 days."</w:t>
      </w:r>
    </w:p>
    <w:p>
      <w:pPr>
        <w:pStyle w:val="ListParagraph"/>
        <w:numPr>
          <w:ilvl w:val="0"/>
          <w:numId w:val="2"/>
        </w:numPr>
        <w:spacing w:after="80" w:line="276"/>
      </w:pPr>
      <w:r>
        <w:rPr>
          <w:rFonts w:ascii="Arial" w:cs="Arial" w:eastAsia="Arial" w:hAnsi="Arial"/>
          <w:color w:val="374151"/>
          <w:sz w:val="21"/>
          <w:szCs w:val="21"/>
        </w:rPr>
        <w:t xml:space="preserve">CASCADE (90s): Watch the 42-node knowledge graph light up in real-time. Show the propagation path: saudi_aramco → dammam_port → saudi_banking → riyadh_financial → sama. Point at each node: "This is your institution."</w:t>
      </w:r>
    </w:p>
    <w:p>
      <w:pPr>
        <w:pStyle w:val="ListParagraph"/>
        <w:numPr>
          <w:ilvl w:val="0"/>
          <w:numId w:val="2"/>
        </w:numPr>
        <w:spacing w:after="80" w:line="276"/>
      </w:pPr>
      <w:r>
        <w:rPr>
          <w:rFonts w:ascii="Arial" w:cs="Arial" w:eastAsia="Arial" w:hAnsi="Arial"/>
          <w:color w:val="374151"/>
          <w:sz w:val="21"/>
          <w:szCs w:val="21"/>
        </w:rPr>
        <w:t xml:space="preserve">QUANTIFY (60s): Show the Event Header: total loss USD, nodes impacted, propagation depth, peak day, confidence. Show the Sector Rollup Bar: banking 0.52 MODERATE, energy 0.78 ELEVATED.</w:t>
      </w:r>
    </w:p>
    <w:p>
      <w:pPr>
        <w:pStyle w:val="ListParagraph"/>
        <w:numPr>
          <w:ilvl w:val="0"/>
          <w:numId w:val="2"/>
        </w:numPr>
        <w:spacing w:after="80" w:line="276"/>
      </w:pPr>
      <w:r>
        <w:rPr>
          <w:rFonts w:ascii="Arial" w:cs="Arial" w:eastAsia="Arial" w:hAnsi="Arial"/>
          <w:color w:val="374151"/>
          <w:sz w:val="21"/>
          <w:szCs w:val="21"/>
        </w:rPr>
        <w:t xml:space="preserve">DECIDE (90s): Show the Decision Panel: 4 ranked actions. Click the top action—show owner ("National Oil Company"), cost ($1.2B), loss avoided ($3.8B), regulatory risk (70%), IFRS 17 flag. Say: "This is the action your counterpart at the Ministry of Energy needs to take in the next 6 hours."</w:t>
      </w:r>
    </w:p>
    <w:p>
      <w:pPr>
        <w:pStyle w:val="ListParagraph"/>
        <w:numPr>
          <w:ilvl w:val="0"/>
          <w:numId w:val="2"/>
        </w:numPr>
        <w:spacing w:after="80" w:line="276"/>
      </w:pPr>
      <w:r>
        <w:rPr>
          <w:rFonts w:ascii="Arial" w:cs="Arial" w:eastAsia="Arial" w:hAnsi="Arial"/>
          <w:color w:val="374151"/>
          <w:sz w:val="21"/>
          <w:szCs w:val="21"/>
        </w:rPr>
        <w:t xml:space="preserve">AUDIT (60s): Show the Status Bar: SHA-256 hash, model version, pipeline stages, confidence score. Say: "Every output is deterministic. Run it again tomorrow—same inputs, same hash. Your auditor can verify this."</w:t>
      </w:r>
    </w:p>
    <w:p>
      <w:pPr>
        <w:pStyle w:val="ListParagraph"/>
        <w:numPr>
          <w:ilvl w:val="0"/>
          <w:numId w:val="2"/>
        </w:numPr>
        <w:spacing w:after="80" w:line="276"/>
      </w:pPr>
      <w:r>
        <w:rPr>
          <w:rFonts w:ascii="Arial" w:cs="Arial" w:eastAsia="Arial" w:hAnsi="Arial"/>
          <w:color w:val="374151"/>
          <w:sz w:val="21"/>
          <w:szCs w:val="21"/>
        </w:rPr>
        <w:t xml:space="preserve">COMPARE (60s): Run a second scenario (different threat vector). Show how the cascade path changes. Demonstrate that the system models the GCC as an interconnected system, not isolated sectors.</w:t>
      </w:r>
    </w:p>
    <w:p>
      <w:pPr>
        <w:pStyle w:val="ListParagraph"/>
        <w:numPr>
          <w:ilvl w:val="0"/>
          <w:numId w:val="2"/>
        </w:numPr>
        <w:spacing w:after="80" w:line="276"/>
      </w:pPr>
      <w:r>
        <w:rPr>
          <w:rFonts w:ascii="Arial" w:cs="Arial" w:eastAsia="Arial" w:hAnsi="Arial"/>
          <w:color w:val="374151"/>
          <w:sz w:val="21"/>
          <w:szCs w:val="21"/>
        </w:rPr>
        <w:t xml:space="preserve">ASK (30s): "Would you like to run your own scenarios? We can set up a 30-day sandbox with your team next week."</w:t>
      </w:r>
    </w:p>
    <w:p>
      <w:pPr>
        <w:pStyle w:val="Heading2"/>
        <w:spacing w:after="160" w:before="280"/>
      </w:pPr>
      <w:r>
        <w:rPr>
          <w:rFonts w:ascii="Arial" w:cs="Arial" w:eastAsia="Arial" w:hAnsi="Arial"/>
          <w:b/>
          <w:bCs/>
          <w:color w:val="1E3A5F"/>
          <w:sz w:val="26"/>
          <w:szCs w:val="26"/>
        </w:rPr>
        <w:t xml:space="preserve">4.2 Scenario-to-Prospect Mapping</w:t>
      </w:r>
    </w:p>
    <w:p>
      <w:pPr>
        <w:spacing w:after="120" w:line="276"/>
      </w:pPr>
      <w:r>
        <w:rPr>
          <w:rFonts w:ascii="Arial" w:cs="Arial" w:eastAsia="Arial" w:hAnsi="Arial"/>
          <w:color w:val="374151"/>
          <w:sz w:val="21"/>
          <w:szCs w:val="21"/>
        </w:rPr>
        <w:t xml:space="preserve">Each prospect gets a scenario that hits their institutional mandate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Prospect</w:t>
            </w:r>
          </w:p>
        </w:tc>
        <w:tc>
          <w:tcPr>
            <w:tcW w:type="dxa" w:w="3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Scenario</w:t>
            </w:r>
          </w:p>
        </w:tc>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Why It Hurts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SAMA</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saudi_oil_shock + regional_liquidity_stress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Shows fiscal revenue cascade into banking liquidity—SAMA’s direct mandate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CBUAE</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uae_banking_crisis + hormuz_disruption</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Shows UAE banking → DIFC → fintech → payment rails—their supervision scope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PIF</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iran_regional_escalation + hormuz_full_closure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Shows portfolio-level exposure across all GCC assets they hold</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Aramco</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hormuz_chokepoint_disruption (severity 0.95)</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Shows Ras Tanura terminal at 40% capacity, supply chain collapse, force majeure trigger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QIC</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qatar_lng_disruption + red_sea_instability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Shows marine P&amp;I claims surge 4.2x—their reinsurance trigger threshold</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FAB / SNB</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uae_banking_crisis / saudi_oil_shock</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Shows their bank as a propagation node—liquidity stress index, CAR erosion</w:t>
            </w:r>
          </w:p>
        </w:tc>
      </w:tr>
    </w:tbl>
    <w:p>
      <w:pPr>
        <w:pStyle w:val="Heading2"/>
        <w:spacing w:after="160" w:before="280"/>
      </w:pPr>
      <w:r>
        <w:rPr>
          <w:rFonts w:ascii="Arial" w:cs="Arial" w:eastAsia="Arial" w:hAnsi="Arial"/>
          <w:b/>
          <w:bCs/>
          <w:color w:val="1E3A5F"/>
          <w:sz w:val="26"/>
          <w:szCs w:val="26"/>
        </w:rPr>
        <w:t xml:space="preserve">4.3 Demo Environment</w:t>
      </w:r>
    </w:p>
    <w:p>
      <w:pPr>
        <w:pStyle w:val="ListParagraph"/>
        <w:numPr>
          <w:ilvl w:val="0"/>
          <w:numId w:val="3"/>
        </w:numPr>
        <w:spacing w:after="60" w:line="276"/>
      </w:pPr>
      <w:r>
        <w:rPr>
          <w:rFonts w:ascii="Arial" w:cs="Arial" w:eastAsia="Arial" w:hAnsi="Arial"/>
          <w:color w:val="374151"/>
          <w:sz w:val="21"/>
          <w:szCs w:val="21"/>
        </w:rPr>
        <w:t xml:space="preserve">Run from the production Decision Command Center UI (dark theme, single-screen terminal)</w:t>
      </w:r>
    </w:p>
    <w:p>
      <w:pPr>
        <w:pStyle w:val="ListParagraph"/>
        <w:numPr>
          <w:ilvl w:val="0"/>
          <w:numId w:val="3"/>
        </w:numPr>
        <w:spacing w:after="60" w:line="276"/>
      </w:pPr>
      <w:r>
        <w:rPr>
          <w:rFonts w:ascii="Arial" w:cs="Arial" w:eastAsia="Arial" w:hAnsi="Arial"/>
          <w:color w:val="374151"/>
          <w:sz w:val="21"/>
          <w:szCs w:val="21"/>
        </w:rPr>
        <w:t xml:space="preserve">Backend on Railway (live API), frontend on Vercel—no local dependencies visible to prospect</w:t>
      </w:r>
    </w:p>
    <w:p>
      <w:pPr>
        <w:pStyle w:val="ListParagraph"/>
        <w:numPr>
          <w:ilvl w:val="0"/>
          <w:numId w:val="3"/>
        </w:numPr>
        <w:spacing w:after="60" w:line="276"/>
      </w:pPr>
      <w:r>
        <w:rPr>
          <w:rFonts w:ascii="Arial" w:cs="Arial" w:eastAsia="Arial" w:hAnsi="Arial"/>
          <w:color w:val="374151"/>
          <w:sz w:val="21"/>
          <w:szCs w:val="21"/>
        </w:rPr>
        <w:t xml:space="preserve">Mock mode for air-gapped environments (military, central bank secure rooms)—toggle via URL param</w:t>
      </w:r>
    </w:p>
    <w:p>
      <w:pPr>
        <w:pStyle w:val="ListParagraph"/>
        <w:numPr>
          <w:ilvl w:val="0"/>
          <w:numId w:val="3"/>
        </w:numPr>
        <w:spacing w:after="60" w:line="276"/>
      </w:pPr>
      <w:r>
        <w:rPr>
          <w:rFonts w:ascii="Arial" w:cs="Arial" w:eastAsia="Arial" w:hAnsi="Arial"/>
          <w:color w:val="374151"/>
          <w:sz w:val="21"/>
          <w:szCs w:val="21"/>
        </w:rPr>
        <w:t xml:space="preserve">Pre-load 3 scenarios before the meeting. Never show setup. The system should appear always-on.</w:t>
      </w:r>
    </w:p>
    <w:p>
      <w:pPr>
        <w:pStyle w:val="ListParagraph"/>
        <w:numPr>
          <w:ilvl w:val="0"/>
          <w:numId w:val="3"/>
        </w:numPr>
        <w:spacing w:after="60" w:line="276"/>
      </w:pPr>
      <w:r>
        <w:rPr>
          <w:rFonts w:ascii="Arial" w:cs="Arial" w:eastAsia="Arial" w:hAnsi="Arial"/>
          <w:color w:val="374151"/>
          <w:sz w:val="21"/>
          <w:szCs w:val="21"/>
        </w:rPr>
        <w:t xml:space="preserve">Record every demo with consent—the replay becomes the follow-up collateral</w:t>
      </w:r>
    </w:p>
    <w:p>
      <w:r>
        <w:br w:type="page"/>
      </w:r>
    </w:p>
    <w:p>
      <w:pPr>
        <w:pStyle w:val="Heading1"/>
        <w:spacing w:after="200" w:before="360"/>
      </w:pPr>
      <w:r>
        <w:rPr>
          <w:rFonts w:ascii="Arial" w:cs="Arial" w:eastAsia="Arial" w:hAnsi="Arial"/>
          <w:b/>
          <w:bCs/>
          <w:color w:val="0A1628"/>
          <w:sz w:val="32"/>
          <w:szCs w:val="32"/>
        </w:rPr>
        <w:t xml:space="preserve">5. Pilot-to-Contract Conversion Sequence</w:t>
      </w:r>
    </w:p>
    <w:p>
      <w:pPr>
        <w:spacing w:after="120" w:line="276"/>
      </w:pPr>
      <w:r>
        <w:rPr>
          <w:rFonts w:ascii="Arial" w:cs="Arial" w:eastAsia="Arial" w:hAnsi="Arial"/>
          <w:color w:val="374151"/>
          <w:sz w:val="21"/>
          <w:szCs w:val="21"/>
        </w:rPr>
        <w:t xml:space="preserve">Conversion is a 5-gate funnel. Each gate has a deliverable, a decision maker, and a kill criterion. No gate is skipped.</w:t>
      </w:r>
    </w:p>
    <w:p>
      <w:pPr>
        <w:pStyle w:val="Heading2"/>
        <w:spacing w:after="160" w:before="280"/>
      </w:pPr>
      <w:r>
        <w:rPr>
          <w:rFonts w:ascii="Arial" w:cs="Arial" w:eastAsia="Arial" w:hAnsi="Arial"/>
          <w:b/>
          <w:bCs/>
          <w:color w:val="1E3A5F"/>
          <w:sz w:val="26"/>
          <w:szCs w:val="26"/>
        </w:rPr>
        <w:t xml:space="preserve">Gate 1: Intelligence Brief (Week 0)</w:t>
      </w:r>
    </w:p>
    <w:p>
      <w:pPr>
        <w:spacing w:after="100" w:line="276"/>
      </w:pPr>
      <w:r>
        <w:rPr>
          <w:rFonts w:ascii="Arial" w:cs="Arial" w:eastAsia="Arial" w:hAnsi="Arial"/>
          <w:b/>
          <w:bCs/>
          <w:color w:val="0A1628"/>
          <w:sz w:val="21"/>
          <w:szCs w:val="21"/>
        </w:rPr>
        <w:t xml:space="preserve">Deliverable: </w:t>
      </w:r>
      <w:r>
        <w:rPr>
          <w:rFonts w:ascii="Arial" w:cs="Arial" w:eastAsia="Arial" w:hAnsi="Arial"/>
          <w:color w:val="374151"/>
          <w:sz w:val="21"/>
          <w:szCs w:val="21"/>
        </w:rPr>
        <w:t xml:space="preserve">Bespoke 4-page scenario simulation output tailored to the prospect’s country and institutional mandate.</w:t>
      </w:r>
    </w:p>
    <w:p>
      <w:pPr>
        <w:spacing w:after="100" w:line="276"/>
      </w:pPr>
      <w:r>
        <w:rPr>
          <w:rFonts w:ascii="Arial" w:cs="Arial" w:eastAsia="Arial" w:hAnsi="Arial"/>
          <w:b/>
          <w:bCs/>
          <w:color w:val="0A1628"/>
          <w:sz w:val="21"/>
          <w:szCs w:val="21"/>
        </w:rPr>
        <w:t xml:space="preserve">Decision Maker: </w:t>
      </w:r>
      <w:r>
        <w:rPr>
          <w:rFonts w:ascii="Arial" w:cs="Arial" w:eastAsia="Arial" w:hAnsi="Arial"/>
          <w:color w:val="374151"/>
          <w:sz w:val="21"/>
          <w:szCs w:val="21"/>
        </w:rPr>
        <w:t xml:space="preserve">Director-level (Financial Stability Director, CRO, Head of Actuarial).</w:t>
      </w:r>
    </w:p>
    <w:p>
      <w:pPr>
        <w:spacing w:after="100" w:line="276"/>
      </w:pPr>
      <w:r>
        <w:rPr>
          <w:rFonts w:ascii="Arial" w:cs="Arial" w:eastAsia="Arial" w:hAnsi="Arial"/>
          <w:b/>
          <w:bCs/>
          <w:color w:val="0A1628"/>
          <w:sz w:val="21"/>
          <w:szCs w:val="21"/>
        </w:rPr>
        <w:t xml:space="preserve">Success Criterion: </w:t>
      </w:r>
      <w:r>
        <w:rPr>
          <w:rFonts w:ascii="Arial" w:cs="Arial" w:eastAsia="Arial" w:hAnsi="Arial"/>
          <w:color w:val="374151"/>
          <w:sz w:val="21"/>
          <w:szCs w:val="21"/>
        </w:rPr>
        <w:t xml:space="preserve">Prospect requests a live demo or asks "can we run our own scenarios?"</w:t>
      </w:r>
    </w:p>
    <w:p>
      <w:pPr>
        <w:spacing w:after="100" w:line="276"/>
      </w:pPr>
      <w:r>
        <w:rPr>
          <w:rFonts w:ascii="Arial" w:cs="Arial" w:eastAsia="Arial" w:hAnsi="Arial"/>
          <w:b/>
          <w:bCs/>
          <w:color w:val="0A1628"/>
          <w:sz w:val="21"/>
          <w:szCs w:val="21"/>
        </w:rPr>
        <w:t xml:space="preserve">Kill Criterion: </w:t>
      </w:r>
      <w:r>
        <w:rPr>
          <w:rFonts w:ascii="Arial" w:cs="Arial" w:eastAsia="Arial" w:hAnsi="Arial"/>
          <w:color w:val="374151"/>
          <w:sz w:val="21"/>
          <w:szCs w:val="21"/>
        </w:rPr>
        <w:t xml:space="preserve">No response after 2 follow-ups. Move to next named account.</w:t>
      </w:r>
    </w:p>
    <w:p>
      <w:pPr>
        <w:spacing w:after="100" w:line="276"/>
      </w:pPr>
      <w:r>
        <w:rPr>
          <w:rFonts w:ascii="Arial" w:cs="Arial" w:eastAsia="Arial" w:hAnsi="Arial"/>
          <w:b/>
          <w:bCs/>
          <w:color w:val="0A1628"/>
          <w:sz w:val="21"/>
          <w:szCs w:val="21"/>
        </w:rPr>
        <w:t xml:space="preserve">Cost: </w:t>
      </w:r>
      <w:r>
        <w:rPr>
          <w:rFonts w:ascii="Arial" w:cs="Arial" w:eastAsia="Arial" w:hAnsi="Arial"/>
          <w:color w:val="374151"/>
          <w:sz w:val="21"/>
          <w:szCs w:val="21"/>
        </w:rPr>
        <w:t xml:space="preserve">Zero. This is a lead-generation investment.</w:t>
      </w:r>
    </w:p>
    <w:p>
      <w:pPr>
        <w:pStyle w:val="Heading2"/>
        <w:spacing w:after="160" w:before="280"/>
      </w:pPr>
      <w:r>
        <w:rPr>
          <w:rFonts w:ascii="Arial" w:cs="Arial" w:eastAsia="Arial" w:hAnsi="Arial"/>
          <w:b/>
          <w:bCs/>
          <w:color w:val="1E3A5F"/>
          <w:sz w:val="26"/>
          <w:szCs w:val="26"/>
        </w:rPr>
        <w:t xml:space="preserve">Gate 2: Live Demo (Week 1–2)</w:t>
      </w:r>
    </w:p>
    <w:p>
      <w:pPr>
        <w:spacing w:after="100" w:line="276"/>
      </w:pPr>
      <w:r>
        <w:rPr>
          <w:rFonts w:ascii="Arial" w:cs="Arial" w:eastAsia="Arial" w:hAnsi="Arial"/>
          <w:b/>
          <w:bCs/>
          <w:color w:val="0A1628"/>
          <w:sz w:val="21"/>
          <w:szCs w:val="21"/>
        </w:rPr>
        <w:t xml:space="preserve">Deliverable: </w:t>
      </w:r>
      <w:r>
        <w:rPr>
          <w:rFonts w:ascii="Arial" w:cs="Arial" w:eastAsia="Arial" w:hAnsi="Arial"/>
          <w:color w:val="374151"/>
          <w:sz w:val="21"/>
          <w:szCs w:val="21"/>
        </w:rPr>
        <w:t xml:space="preserve">7-minute demo protocol executed on their scenario. Recorded with consent.</w:t>
      </w:r>
    </w:p>
    <w:p>
      <w:pPr>
        <w:spacing w:after="100" w:line="276"/>
      </w:pPr>
      <w:r>
        <w:rPr>
          <w:rFonts w:ascii="Arial" w:cs="Arial" w:eastAsia="Arial" w:hAnsi="Arial"/>
          <w:b/>
          <w:bCs/>
          <w:color w:val="0A1628"/>
          <w:sz w:val="21"/>
          <w:szCs w:val="21"/>
        </w:rPr>
        <w:t xml:space="preserve">Decision Maker: </w:t>
      </w:r>
      <w:r>
        <w:rPr>
          <w:rFonts w:ascii="Arial" w:cs="Arial" w:eastAsia="Arial" w:hAnsi="Arial"/>
          <w:color w:val="374151"/>
          <w:sz w:val="21"/>
          <w:szCs w:val="21"/>
        </w:rPr>
        <w:t xml:space="preserve">Same director + their technical lead (risk analytics team).</w:t>
      </w:r>
    </w:p>
    <w:p>
      <w:pPr>
        <w:spacing w:after="100" w:line="276"/>
      </w:pPr>
      <w:r>
        <w:rPr>
          <w:rFonts w:ascii="Arial" w:cs="Arial" w:eastAsia="Arial" w:hAnsi="Arial"/>
          <w:b/>
          <w:bCs/>
          <w:color w:val="0A1628"/>
          <w:sz w:val="21"/>
          <w:szCs w:val="21"/>
        </w:rPr>
        <w:t xml:space="preserve">Success Criterion: </w:t>
      </w:r>
      <w:r>
        <w:rPr>
          <w:rFonts w:ascii="Arial" w:cs="Arial" w:eastAsia="Arial" w:hAnsi="Arial"/>
          <w:color w:val="374151"/>
          <w:sz w:val="21"/>
          <w:szCs w:val="21"/>
        </w:rPr>
        <w:t xml:space="preserve">Prospect asks for sandbox access or says "we need to evaluate this internally."</w:t>
      </w:r>
    </w:p>
    <w:p>
      <w:pPr>
        <w:spacing w:after="100" w:line="276"/>
      </w:pPr>
      <w:r>
        <w:rPr>
          <w:rFonts w:ascii="Arial" w:cs="Arial" w:eastAsia="Arial" w:hAnsi="Arial"/>
          <w:b/>
          <w:bCs/>
          <w:color w:val="0A1628"/>
          <w:sz w:val="21"/>
          <w:szCs w:val="21"/>
        </w:rPr>
        <w:t xml:space="preserve">Kill Criterion: </w:t>
      </w:r>
      <w:r>
        <w:rPr>
          <w:rFonts w:ascii="Arial" w:cs="Arial" w:eastAsia="Arial" w:hAnsi="Arial"/>
          <w:color w:val="374151"/>
          <w:sz w:val="21"/>
          <w:szCs w:val="21"/>
        </w:rPr>
        <w:t xml:space="preserve">"Interesting but we’re not ready." Nurture for 6 months with quarterly scenario briefs.</w:t>
      </w:r>
    </w:p>
    <w:p>
      <w:pPr>
        <w:spacing w:after="100" w:line="276"/>
      </w:pPr>
      <w:r>
        <w:rPr>
          <w:rFonts w:ascii="Arial" w:cs="Arial" w:eastAsia="Arial" w:hAnsi="Arial"/>
          <w:b/>
          <w:bCs/>
          <w:color w:val="0A1628"/>
          <w:sz w:val="21"/>
          <w:szCs w:val="21"/>
        </w:rPr>
        <w:t xml:space="preserve">Cost: </w:t>
      </w:r>
      <w:r>
        <w:rPr>
          <w:rFonts w:ascii="Arial" w:cs="Arial" w:eastAsia="Arial" w:hAnsi="Arial"/>
          <w:color w:val="374151"/>
          <w:sz w:val="21"/>
          <w:szCs w:val="21"/>
        </w:rPr>
        <w:t xml:space="preserve">Zero.</w:t>
      </w:r>
    </w:p>
    <w:p>
      <w:pPr>
        <w:pStyle w:val="Heading2"/>
        <w:spacing w:after="160" w:before="280"/>
      </w:pPr>
      <w:r>
        <w:rPr>
          <w:rFonts w:ascii="Arial" w:cs="Arial" w:eastAsia="Arial" w:hAnsi="Arial"/>
          <w:b/>
          <w:bCs/>
          <w:color w:val="1E3A5F"/>
          <w:sz w:val="26"/>
          <w:szCs w:val="26"/>
        </w:rPr>
        <w:t xml:space="preserve">Gate 3: Sandbox Pilot (Week 3–8)</w:t>
      </w:r>
    </w:p>
    <w:p>
      <w:pPr>
        <w:spacing w:after="100" w:line="276"/>
      </w:pPr>
      <w:r>
        <w:rPr>
          <w:rFonts w:ascii="Arial" w:cs="Arial" w:eastAsia="Arial" w:hAnsi="Arial"/>
          <w:b/>
          <w:bCs/>
          <w:color w:val="0A1628"/>
          <w:sz w:val="21"/>
          <w:szCs w:val="21"/>
        </w:rPr>
        <w:t xml:space="preserve">Deliverable: </w:t>
      </w:r>
      <w:r>
        <w:rPr>
          <w:rFonts w:ascii="Arial" w:cs="Arial" w:eastAsia="Arial" w:hAnsi="Arial"/>
          <w:color w:val="374151"/>
          <w:sz w:val="21"/>
          <w:szCs w:val="21"/>
        </w:rPr>
        <w:t xml:space="preserve">30-day sandbox with API access. Prospect runs their own scenarios. We provide 3 onboarding sessions.</w:t>
      </w:r>
    </w:p>
    <w:p>
      <w:pPr>
        <w:spacing w:after="100" w:line="276"/>
      </w:pPr>
      <w:r>
        <w:rPr>
          <w:rFonts w:ascii="Arial" w:cs="Arial" w:eastAsia="Arial" w:hAnsi="Arial"/>
          <w:b/>
          <w:bCs/>
          <w:color w:val="0A1628"/>
          <w:sz w:val="21"/>
          <w:szCs w:val="21"/>
        </w:rPr>
        <w:t xml:space="preserve">Decision Maker: </w:t>
      </w:r>
      <w:r>
        <w:rPr>
          <w:rFonts w:ascii="Arial" w:cs="Arial" w:eastAsia="Arial" w:hAnsi="Arial"/>
          <w:color w:val="374151"/>
          <w:sz w:val="21"/>
          <w:szCs w:val="21"/>
        </w:rPr>
        <w:t xml:space="preserve">Technical lead + procurement.</w:t>
      </w:r>
    </w:p>
    <w:p>
      <w:pPr>
        <w:spacing w:after="100" w:line="276"/>
      </w:pPr>
      <w:r>
        <w:rPr>
          <w:rFonts w:ascii="Arial" w:cs="Arial" w:eastAsia="Arial" w:hAnsi="Arial"/>
          <w:b/>
          <w:bCs/>
          <w:color w:val="0A1628"/>
          <w:sz w:val="21"/>
          <w:szCs w:val="21"/>
        </w:rPr>
        <w:t xml:space="preserve">Success Criterion: </w:t>
      </w:r>
      <w:r>
        <w:rPr>
          <w:rFonts w:ascii="Arial" w:cs="Arial" w:eastAsia="Arial" w:hAnsi="Arial"/>
          <w:color w:val="374151"/>
          <w:sz w:val="21"/>
          <w:szCs w:val="21"/>
        </w:rPr>
        <w:t xml:space="preserve">Prospect runs 10+ scenarios. Their team references the output in an internal report or board deck.</w:t>
      </w:r>
    </w:p>
    <w:p>
      <w:pPr>
        <w:spacing w:after="100" w:line="276"/>
      </w:pPr>
      <w:r>
        <w:rPr>
          <w:rFonts w:ascii="Arial" w:cs="Arial" w:eastAsia="Arial" w:hAnsi="Arial"/>
          <w:b/>
          <w:bCs/>
          <w:color w:val="0A1628"/>
          <w:sz w:val="21"/>
          <w:szCs w:val="21"/>
        </w:rPr>
        <w:t xml:space="preserve">Kill Criterion: </w:t>
      </w:r>
      <w:r>
        <w:rPr>
          <w:rFonts w:ascii="Arial" w:cs="Arial" w:eastAsia="Arial" w:hAnsi="Arial"/>
          <w:color w:val="374151"/>
          <w:sz w:val="21"/>
          <w:szCs w:val="21"/>
        </w:rPr>
        <w:t xml:space="preserve">Fewer than 3 scenario runs in 30 days = no internal champion. Extend once. Then exit.</w:t>
      </w:r>
    </w:p>
    <w:p>
      <w:pPr>
        <w:spacing w:after="100" w:line="276"/>
      </w:pPr>
      <w:r>
        <w:rPr>
          <w:rFonts w:ascii="Arial" w:cs="Arial" w:eastAsia="Arial" w:hAnsi="Arial"/>
          <w:b/>
          <w:bCs/>
          <w:color w:val="0A1628"/>
          <w:sz w:val="21"/>
          <w:szCs w:val="21"/>
        </w:rPr>
        <w:t xml:space="preserve">Pricing: </w:t>
      </w:r>
      <w:r>
        <w:rPr>
          <w:rFonts w:ascii="Arial" w:cs="Arial" w:eastAsia="Arial" w:hAnsi="Arial"/>
          <w:color w:val="374151"/>
          <w:sz w:val="21"/>
          <w:szCs w:val="21"/>
        </w:rPr>
        <w:t xml:space="preserve">Free for regulators (Tier 1). $50K paid proof-of-value for SWFs/NOCs. Free for banks/insurers (Tier 3) if regulator is already onboarded.</w:t>
      </w:r>
    </w:p>
    <w:p>
      <w:pPr>
        <w:pStyle w:val="Heading2"/>
        <w:spacing w:after="160" w:before="280"/>
      </w:pPr>
      <w:r>
        <w:rPr>
          <w:rFonts w:ascii="Arial" w:cs="Arial" w:eastAsia="Arial" w:hAnsi="Arial"/>
          <w:b/>
          <w:bCs/>
          <w:color w:val="1E3A5F"/>
          <w:sz w:val="26"/>
          <w:szCs w:val="26"/>
        </w:rPr>
        <w:t xml:space="preserve">Gate 4: Technical Validation (Week 6–10)</w:t>
      </w:r>
    </w:p>
    <w:p>
      <w:pPr>
        <w:spacing w:after="100" w:line="276"/>
      </w:pPr>
      <w:r>
        <w:rPr>
          <w:rFonts w:ascii="Arial" w:cs="Arial" w:eastAsia="Arial" w:hAnsi="Arial"/>
          <w:b/>
          <w:bCs/>
          <w:color w:val="0A1628"/>
          <w:sz w:val="21"/>
          <w:szCs w:val="21"/>
        </w:rPr>
        <w:t xml:space="preserve">Deliverable: </w:t>
      </w:r>
      <w:r>
        <w:rPr>
          <w:rFonts w:ascii="Arial" w:cs="Arial" w:eastAsia="Arial" w:hAnsi="Arial"/>
          <w:color w:val="374151"/>
          <w:sz w:val="21"/>
          <w:szCs w:val="21"/>
        </w:rPr>
        <w:t xml:space="preserve">Technical audit package: deterministic replay proof (same inputs → same SHA-256 hash), pipeline stage documentation, data lineage, IFRS 17 mapping, PDPL data residency statement.</w:t>
      </w:r>
    </w:p>
    <w:p>
      <w:pPr>
        <w:spacing w:after="100" w:line="276"/>
      </w:pPr>
      <w:r>
        <w:rPr>
          <w:rFonts w:ascii="Arial" w:cs="Arial" w:eastAsia="Arial" w:hAnsi="Arial"/>
          <w:b/>
          <w:bCs/>
          <w:color w:val="0A1628"/>
          <w:sz w:val="21"/>
          <w:szCs w:val="21"/>
        </w:rPr>
        <w:t xml:space="preserve">Decision Maker: </w:t>
      </w:r>
      <w:r>
        <w:rPr>
          <w:rFonts w:ascii="Arial" w:cs="Arial" w:eastAsia="Arial" w:hAnsi="Arial"/>
          <w:color w:val="374151"/>
          <w:sz w:val="21"/>
          <w:szCs w:val="21"/>
        </w:rPr>
        <w:t xml:space="preserve">CISO, Head of IT, external auditor (if required).</w:t>
      </w:r>
    </w:p>
    <w:p>
      <w:pPr>
        <w:spacing w:after="100" w:line="276"/>
      </w:pPr>
      <w:r>
        <w:rPr>
          <w:rFonts w:ascii="Arial" w:cs="Arial" w:eastAsia="Arial" w:hAnsi="Arial"/>
          <w:b/>
          <w:bCs/>
          <w:color w:val="0A1628"/>
          <w:sz w:val="21"/>
          <w:szCs w:val="21"/>
        </w:rPr>
        <w:t xml:space="preserve">Success Criterion: </w:t>
      </w:r>
      <w:r>
        <w:rPr>
          <w:rFonts w:ascii="Arial" w:cs="Arial" w:eastAsia="Arial" w:hAnsi="Arial"/>
          <w:color w:val="374151"/>
          <w:sz w:val="21"/>
          <w:szCs w:val="21"/>
        </w:rPr>
        <w:t xml:space="preserve">Technical clearance to proceed to procurement.</w:t>
      </w:r>
    </w:p>
    <w:p>
      <w:pPr>
        <w:spacing w:after="100" w:line="276"/>
      </w:pPr>
      <w:r>
        <w:rPr>
          <w:rFonts w:ascii="Arial" w:cs="Arial" w:eastAsia="Arial" w:hAnsi="Arial"/>
          <w:b/>
          <w:bCs/>
          <w:color w:val="0A1628"/>
          <w:sz w:val="21"/>
          <w:szCs w:val="21"/>
        </w:rPr>
        <w:t xml:space="preserve">Kill Criterion: </w:t>
      </w:r>
      <w:r>
        <w:rPr>
          <w:rFonts w:ascii="Arial" w:cs="Arial" w:eastAsia="Arial" w:hAnsi="Arial"/>
          <w:color w:val="374151"/>
          <w:sz w:val="21"/>
          <w:szCs w:val="21"/>
        </w:rPr>
        <w:t xml:space="preserve">Data sovereignty objection that cannot be resolved with on-premise deployment option.</w:t>
      </w:r>
    </w:p>
    <w:p>
      <w:pPr>
        <w:spacing w:after="100" w:line="276"/>
      </w:pPr>
      <w:r>
        <w:rPr>
          <w:rFonts w:ascii="Arial" w:cs="Arial" w:eastAsia="Arial" w:hAnsi="Arial"/>
          <w:b/>
          <w:bCs/>
          <w:color w:val="0A1628"/>
          <w:sz w:val="21"/>
          <w:szCs w:val="21"/>
        </w:rPr>
        <w:t xml:space="preserve">Mitigation: </w:t>
      </w:r>
      <w:r>
        <w:rPr>
          <w:rFonts w:ascii="Arial" w:cs="Arial" w:eastAsia="Arial" w:hAnsi="Arial"/>
          <w:color w:val="374151"/>
          <w:sz w:val="21"/>
          <w:szCs w:val="21"/>
        </w:rPr>
        <w:t xml:space="preserve">Offer Mac M4 Max local deployment (our system runs on-premise—this is a core design choice).</w:t>
      </w:r>
    </w:p>
    <w:p>
      <w:pPr>
        <w:pStyle w:val="Heading2"/>
        <w:spacing w:after="160" w:before="280"/>
      </w:pPr>
      <w:r>
        <w:rPr>
          <w:rFonts w:ascii="Arial" w:cs="Arial" w:eastAsia="Arial" w:hAnsi="Arial"/>
          <w:b/>
          <w:bCs/>
          <w:color w:val="1E3A5F"/>
          <w:sz w:val="26"/>
          <w:szCs w:val="26"/>
        </w:rPr>
        <w:t xml:space="preserve">Gate 5: Contract (Week 10–16)</w:t>
      </w:r>
    </w:p>
    <w:p>
      <w:pPr>
        <w:spacing w:after="100" w:line="276"/>
      </w:pPr>
      <w:r>
        <w:rPr>
          <w:rFonts w:ascii="Arial" w:cs="Arial" w:eastAsia="Arial" w:hAnsi="Arial"/>
          <w:b/>
          <w:bCs/>
          <w:color w:val="0A1628"/>
          <w:sz w:val="21"/>
          <w:szCs w:val="21"/>
        </w:rPr>
        <w:t xml:space="preserve">Deliverable: </w:t>
      </w:r>
      <w:r>
        <w:rPr>
          <w:rFonts w:ascii="Arial" w:cs="Arial" w:eastAsia="Arial" w:hAnsi="Arial"/>
          <w:color w:val="374151"/>
          <w:sz w:val="21"/>
          <w:szCs w:val="21"/>
        </w:rPr>
        <w:t xml:space="preserve">Annual subscription proposal: platform access + scenario library + quarterly intelligence briefs + priority support.</w:t>
      </w:r>
    </w:p>
    <w:p>
      <w:pPr>
        <w:spacing w:after="100" w:line="276"/>
      </w:pPr>
      <w:r>
        <w:rPr>
          <w:rFonts w:ascii="Arial" w:cs="Arial" w:eastAsia="Arial" w:hAnsi="Arial"/>
          <w:b/>
          <w:bCs/>
          <w:color w:val="0A1628"/>
          <w:sz w:val="21"/>
          <w:szCs w:val="21"/>
        </w:rPr>
        <w:t xml:space="preserve">Decision Maker: </w:t>
      </w:r>
      <w:r>
        <w:rPr>
          <w:rFonts w:ascii="Arial" w:cs="Arial" w:eastAsia="Arial" w:hAnsi="Arial"/>
          <w:color w:val="374151"/>
          <w:sz w:val="21"/>
          <w:szCs w:val="21"/>
        </w:rPr>
        <w:t xml:space="preserve">CFO or COO (budget holder) + Procurement.</w:t>
      </w:r>
    </w:p>
    <w:p>
      <w:pPr>
        <w:spacing w:after="100" w:line="276"/>
      </w:pPr>
      <w:r>
        <w:rPr>
          <w:rFonts w:ascii="Arial" w:cs="Arial" w:eastAsia="Arial" w:hAnsi="Arial"/>
          <w:b/>
          <w:bCs/>
          <w:color w:val="0A1628"/>
          <w:sz w:val="21"/>
          <w:szCs w:val="21"/>
        </w:rPr>
        <w:t xml:space="preserve">Success Criterion: </w:t>
      </w:r>
      <w:r>
        <w:rPr>
          <w:rFonts w:ascii="Arial" w:cs="Arial" w:eastAsia="Arial" w:hAnsi="Arial"/>
          <w:color w:val="374151"/>
          <w:sz w:val="21"/>
          <w:szCs w:val="21"/>
        </w:rPr>
        <w:t xml:space="preserve">Signed contract.</w:t>
      </w:r>
    </w:p>
    <w:p>
      <w:pPr>
        <w:spacing w:after="100" w:line="276"/>
      </w:pPr>
      <w:r>
        <w:rPr>
          <w:rFonts w:ascii="Arial" w:cs="Arial" w:eastAsia="Arial" w:hAnsi="Arial"/>
          <w:b/>
          <w:bCs/>
          <w:color w:val="0A1628"/>
          <w:sz w:val="21"/>
          <w:szCs w:val="21"/>
        </w:rPr>
        <w:t xml:space="preserve">Kill Criterion: </w:t>
      </w:r>
      <w:r>
        <w:rPr>
          <w:rFonts w:ascii="Arial" w:cs="Arial" w:eastAsia="Arial" w:hAnsi="Arial"/>
          <w:color w:val="374151"/>
          <w:sz w:val="21"/>
          <w:szCs w:val="21"/>
        </w:rPr>
        <w:t xml:space="preserve">Procurement stall beyond 6 weeks. Escalate through advisory board or executive sponsor.</w:t>
      </w:r>
    </w:p>
    <w:p>
      <w:pPr>
        <w:pStyle w:val="Heading2"/>
        <w:spacing w:after="160" w:before="280"/>
      </w:pPr>
      <w:r>
        <w:rPr>
          <w:rFonts w:ascii="Arial" w:cs="Arial" w:eastAsia="Arial" w:hAnsi="Arial"/>
          <w:b/>
          <w:bCs/>
          <w:color w:val="1E3A5F"/>
          <w:sz w:val="26"/>
          <w:szCs w:val="26"/>
        </w:rPr>
        <w:t xml:space="preserve">Pricing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23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Annual License</w:t>
            </w:r>
          </w:p>
        </w:tc>
        <w:tc>
          <w:tcPr>
            <w:tcW w:type="dxa" w:w="23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Includes</w:t>
            </w:r>
          </w:p>
        </w:tc>
        <w:tc>
          <w:tcPr>
            <w:tcW w:type="dxa" w:w="23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Add-ons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Regulator</w:t>
            </w:r>
          </w:p>
        </w:tc>
        <w:tc>
          <w:tcPr>
            <w:tcW w:type="dxa" w:w="23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18"/>
                <w:szCs w:val="18"/>
              </w:rPr>
              <w:t xml:space="preserve">$400K–$800K</w:t>
            </w:r>
          </w:p>
        </w:tc>
        <w:tc>
          <w:tcPr>
            <w:tcW w:type="dxa" w:w="23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Full platform, 15 scenarios, API, custom scenarios, priority support</w:t>
            </w:r>
          </w:p>
        </w:tc>
        <w:tc>
          <w:tcPr>
            <w:tcW w:type="dxa" w:w="23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Cross-GCC federation module ($200K)</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18"/>
                <w:szCs w:val="18"/>
              </w:rPr>
              <w:t xml:space="preserve">SWF / NOC</w:t>
            </w:r>
          </w:p>
        </w:tc>
        <w:tc>
          <w:tcPr>
            <w:tcW w:type="dxa" w:w="23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059669"/>
                <w:sz w:val="18"/>
                <w:szCs w:val="18"/>
              </w:rPr>
              <w:t xml:space="preserve">$250K–$600K</w:t>
            </w:r>
          </w:p>
        </w:tc>
        <w:tc>
          <w:tcPr>
            <w:tcW w:type="dxa" w:w="23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portfolio overlay, 15 scenarios, quarterly briefs</w:t>
            </w:r>
          </w:p>
        </w:tc>
        <w:tc>
          <w:tcPr>
            <w:tcW w:type="dxa" w:w="23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374151"/>
                <w:sz w:val="18"/>
                <w:szCs w:val="18"/>
              </w:rPr>
              <w:t xml:space="preserve">Custom scenario authoring ($75K each)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18"/>
                <w:szCs w:val="18"/>
              </w:rPr>
              <w:t xml:space="preserve">Bank / Insurer</w:t>
            </w:r>
          </w:p>
        </w:tc>
        <w:tc>
          <w:tcPr>
            <w:tcW w:type="dxa" w:w="23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59669"/>
                <w:sz w:val="18"/>
                <w:szCs w:val="18"/>
              </w:rPr>
              <w:t xml:space="preserve">$120K–$350K</w:t>
            </w:r>
          </w:p>
        </w:tc>
        <w:tc>
          <w:tcPr>
            <w:tcW w:type="dxa" w:w="23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Platform, sector-specific view, Basel/IFRS 17 compliance reports</w:t>
            </w:r>
          </w:p>
        </w:tc>
        <w:tc>
          <w:tcPr>
            <w:tcW w:type="dxa" w:w="23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API integration with core banking ($50K)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none" w:sz="0"/>
              <w:bottom w:val="none" w:sz="0"/>
              <w:right w:val="none" w:sz="0"/>
            </w:tcBorders>
            <w:shd w:fill="FFFBEB" w:val="clear"/>
            <w:tcMar>
              <w:top w:type="dxa" w:w="120"/>
              <w:left w:type="dxa" w:w="200"/>
              <w:bottom w:type="dxa" w:w="120"/>
              <w:right w:type="dxa" w:w="200"/>
            </w:tcMar>
          </w:tcPr>
          <w:p>
            <w:pPr>
              <w:spacing w:after="60"/>
            </w:pPr>
            <w:r>
              <w:rPr>
                <w:rFonts w:ascii="Arial" w:cs="Arial" w:eastAsia="Arial" w:hAnsi="Arial"/>
                <w:b/>
                <w:bCs/>
                <w:color w:val="059669"/>
                <w:sz w:val="20"/>
                <w:szCs w:val="20"/>
              </w:rPr>
              <w:t xml:space="preserve">REVENUE MODEL</w:t>
            </w:r>
          </w:p>
          <w:p>
            <w:r>
              <w:rPr>
                <w:rFonts w:ascii="Arial" w:cs="Arial" w:eastAsia="Arial" w:hAnsi="Arial"/>
                <w:color w:val="374151"/>
                <w:sz w:val="19"/>
                <w:szCs w:val="19"/>
              </w:rPr>
              <w:t xml:space="preserve">Year 1 target: 3 regulator pilots (2 converting to paid) + 2 SWF paid PoVs + 4 bank/insurer pilots. Revenue range: $800K–$1.8M ARR. Year 2: regulator mandates create Tier 3 pull demand. Target 10–15 bank/insurer seats via regulatory compliance driver. Revenue range: $2.5M–$5M ARR.</w:t>
            </w:r>
          </w:p>
        </w:tc>
      </w:tr>
    </w:tbl>
    <w:p>
      <w:r>
        <w:br w:type="page"/>
      </w:r>
    </w:p>
    <w:p>
      <w:pPr>
        <w:pStyle w:val="Heading1"/>
        <w:spacing w:after="200" w:before="360"/>
      </w:pPr>
      <w:r>
        <w:rPr>
          <w:rFonts w:ascii="Arial" w:cs="Arial" w:eastAsia="Arial" w:hAnsi="Arial"/>
          <w:b/>
          <w:bCs/>
          <w:color w:val="0A1628"/>
          <w:sz w:val="32"/>
          <w:szCs w:val="32"/>
        </w:rPr>
        <w:t xml:space="preserve">6. 90-Day Execution Sequence</w:t>
      </w:r>
    </w:p>
    <w:p>
      <w:pPr>
        <w:pStyle w:val="Heading2"/>
        <w:spacing w:after="160" w:before="280"/>
      </w:pPr>
      <w:r>
        <w:rPr>
          <w:rFonts w:ascii="Arial" w:cs="Arial" w:eastAsia="Arial" w:hAnsi="Arial"/>
          <w:b/>
          <w:bCs/>
          <w:color w:val="1E3A5F"/>
          <w:sz w:val="26"/>
          <w:szCs w:val="26"/>
        </w:rPr>
        <w:t xml:space="preserve">Month 1: Intelligence Brief Factory</w:t>
      </w:r>
    </w:p>
    <w:p>
      <w:pPr>
        <w:pStyle w:val="ListParagraph"/>
        <w:numPr>
          <w:ilvl w:val="0"/>
          <w:numId w:val="2"/>
        </w:numPr>
        <w:spacing w:after="80" w:line="276"/>
      </w:pPr>
      <w:r>
        <w:rPr>
          <w:rFonts w:ascii="Arial" w:cs="Arial" w:eastAsia="Arial" w:hAnsi="Arial"/>
          <w:color w:val="374151"/>
          <w:sz w:val="21"/>
          <w:szCs w:val="21"/>
        </w:rPr>
        <w:t xml:space="preserve">Produce 5 bespoke intelligence briefs (one per Tier 1 named account: SAMA, CBUAE, CBB, IA, CMA)</w:t>
      </w:r>
    </w:p>
    <w:p>
      <w:pPr>
        <w:pStyle w:val="ListParagraph"/>
        <w:numPr>
          <w:ilvl w:val="0"/>
          <w:numId w:val="2"/>
        </w:numPr>
        <w:spacing w:after="80" w:line="276"/>
      </w:pPr>
      <w:r>
        <w:rPr>
          <w:rFonts w:ascii="Arial" w:cs="Arial" w:eastAsia="Arial" w:hAnsi="Arial"/>
          <w:color w:val="374151"/>
          <w:sz w:val="21"/>
          <w:szCs w:val="21"/>
        </w:rPr>
        <w:t xml:space="preserve">Each brief runs the prospect’s scenario through the live backend and exports a 4-page PDF from the Decision Command Center</w:t>
      </w:r>
    </w:p>
    <w:p>
      <w:pPr>
        <w:pStyle w:val="ListParagraph"/>
        <w:numPr>
          <w:ilvl w:val="0"/>
          <w:numId w:val="2"/>
        </w:numPr>
        <w:spacing w:after="80" w:line="276"/>
      </w:pPr>
      <w:r>
        <w:rPr>
          <w:rFonts w:ascii="Arial" w:cs="Arial" w:eastAsia="Arial" w:hAnsi="Arial"/>
          <w:color w:val="374151"/>
          <w:sz w:val="21"/>
          <w:szCs w:val="21"/>
        </w:rPr>
        <w:t xml:space="preserve">Identify and brief the delivery channel for each account (gov relations intro, advisory board, direct)</w:t>
      </w:r>
    </w:p>
    <w:p>
      <w:pPr>
        <w:pStyle w:val="ListParagraph"/>
        <w:numPr>
          <w:ilvl w:val="0"/>
          <w:numId w:val="2"/>
        </w:numPr>
        <w:spacing w:after="80" w:line="276"/>
      </w:pPr>
      <w:r>
        <w:rPr>
          <w:rFonts w:ascii="Arial" w:cs="Arial" w:eastAsia="Arial" w:hAnsi="Arial"/>
          <w:color w:val="374151"/>
          <w:sz w:val="21"/>
          <w:szCs w:val="21"/>
        </w:rPr>
        <w:t xml:space="preserve">Deliver briefs. Track opens. Follow up within 48 hours.</w:t>
      </w:r>
    </w:p>
    <w:p>
      <w:pPr>
        <w:pStyle w:val="Heading2"/>
        <w:spacing w:after="160" w:before="280"/>
      </w:pPr>
      <w:r>
        <w:rPr>
          <w:rFonts w:ascii="Arial" w:cs="Arial" w:eastAsia="Arial" w:hAnsi="Arial"/>
          <w:b/>
          <w:bCs/>
          <w:color w:val="1E3A5F"/>
          <w:sz w:val="26"/>
          <w:szCs w:val="26"/>
        </w:rPr>
        <w:t xml:space="preserve">Month 2: Demo Execution &amp; Pilot Launch</w:t>
      </w:r>
    </w:p>
    <w:p>
      <w:pPr>
        <w:pStyle w:val="ListParagraph"/>
        <w:numPr>
          <w:ilvl w:val="0"/>
          <w:numId w:val="2"/>
        </w:numPr>
        <w:spacing w:after="80" w:line="276"/>
      </w:pPr>
      <w:r>
        <w:rPr>
          <w:rFonts w:ascii="Arial" w:cs="Arial" w:eastAsia="Arial" w:hAnsi="Arial"/>
          <w:color w:val="374151"/>
          <w:sz w:val="21"/>
          <w:szCs w:val="21"/>
        </w:rPr>
        <w:t xml:space="preserve">Execute 7-minute demo for every prospect that responds to the brief</w:t>
      </w:r>
    </w:p>
    <w:p>
      <w:pPr>
        <w:pStyle w:val="ListParagraph"/>
        <w:numPr>
          <w:ilvl w:val="0"/>
          <w:numId w:val="2"/>
        </w:numPr>
        <w:spacing w:after="80" w:line="276"/>
      </w:pPr>
      <w:r>
        <w:rPr>
          <w:rFonts w:ascii="Arial" w:cs="Arial" w:eastAsia="Arial" w:hAnsi="Arial"/>
          <w:color w:val="374151"/>
          <w:sz w:val="21"/>
          <w:szCs w:val="21"/>
        </w:rPr>
        <w:t xml:space="preserve">Launch sandbox pilot for first 2–3 accounts (likely CBUAE + one insurer)</w:t>
      </w:r>
    </w:p>
    <w:p>
      <w:pPr>
        <w:pStyle w:val="ListParagraph"/>
        <w:numPr>
          <w:ilvl w:val="0"/>
          <w:numId w:val="2"/>
        </w:numPr>
        <w:spacing w:after="80" w:line="276"/>
      </w:pPr>
      <w:r>
        <w:rPr>
          <w:rFonts w:ascii="Arial" w:cs="Arial" w:eastAsia="Arial" w:hAnsi="Arial"/>
          <w:color w:val="374151"/>
          <w:sz w:val="21"/>
          <w:szCs w:val="21"/>
        </w:rPr>
        <w:t xml:space="preserve">Begin SWF/NOC outreach with portfolio-specific scenarios (PIF, ADIA)</w:t>
      </w:r>
    </w:p>
    <w:p>
      <w:pPr>
        <w:pStyle w:val="ListParagraph"/>
        <w:numPr>
          <w:ilvl w:val="0"/>
          <w:numId w:val="2"/>
        </w:numPr>
        <w:spacing w:after="80" w:line="276"/>
      </w:pPr>
      <w:r>
        <w:rPr>
          <w:rFonts w:ascii="Arial" w:cs="Arial" w:eastAsia="Arial" w:hAnsi="Arial"/>
          <w:color w:val="374151"/>
          <w:sz w:val="21"/>
          <w:szCs w:val="21"/>
        </w:rPr>
        <w:t xml:space="preserve">Submit speaking proposals for ADIPEC and Saudi Capital Market Forum</w:t>
      </w:r>
    </w:p>
    <w:p>
      <w:pPr>
        <w:pStyle w:val="Heading2"/>
        <w:spacing w:after="160" w:before="280"/>
      </w:pPr>
      <w:r>
        <w:rPr>
          <w:rFonts w:ascii="Arial" w:cs="Arial" w:eastAsia="Arial" w:hAnsi="Arial"/>
          <w:b/>
          <w:bCs/>
          <w:color w:val="1E3A5F"/>
          <w:sz w:val="26"/>
          <w:szCs w:val="26"/>
        </w:rPr>
        <w:t xml:space="preserve">Month 3: Conversion &amp; Expansion</w:t>
      </w:r>
    </w:p>
    <w:p>
      <w:pPr>
        <w:pStyle w:val="ListParagraph"/>
        <w:numPr>
          <w:ilvl w:val="0"/>
          <w:numId w:val="2"/>
        </w:numPr>
        <w:spacing w:after="80" w:line="276"/>
      </w:pPr>
      <w:r>
        <w:rPr>
          <w:rFonts w:ascii="Arial" w:cs="Arial" w:eastAsia="Arial" w:hAnsi="Arial"/>
          <w:color w:val="374151"/>
          <w:sz w:val="21"/>
          <w:szCs w:val="21"/>
        </w:rPr>
        <w:t xml:space="preserve">Deliver technical audit packages for prospects in Gate 4</w:t>
      </w:r>
    </w:p>
    <w:p>
      <w:pPr>
        <w:pStyle w:val="ListParagraph"/>
        <w:numPr>
          <w:ilvl w:val="0"/>
          <w:numId w:val="2"/>
        </w:numPr>
        <w:spacing w:after="80" w:line="276"/>
      </w:pPr>
      <w:r>
        <w:rPr>
          <w:rFonts w:ascii="Arial" w:cs="Arial" w:eastAsia="Arial" w:hAnsi="Arial"/>
          <w:color w:val="374151"/>
          <w:sz w:val="21"/>
          <w:szCs w:val="21"/>
        </w:rPr>
        <w:t xml:space="preserve">Convert first pilot to paid contract (target: one regulator)</w:t>
      </w:r>
    </w:p>
    <w:p>
      <w:pPr>
        <w:pStyle w:val="ListParagraph"/>
        <w:numPr>
          <w:ilvl w:val="0"/>
          <w:numId w:val="2"/>
        </w:numPr>
        <w:spacing w:after="80" w:line="276"/>
      </w:pPr>
      <w:r>
        <w:rPr>
          <w:rFonts w:ascii="Arial" w:cs="Arial" w:eastAsia="Arial" w:hAnsi="Arial"/>
          <w:color w:val="374151"/>
          <w:sz w:val="21"/>
          <w:szCs w:val="21"/>
        </w:rPr>
        <w:t xml:space="preserve">Launch Tier 3 outreach using regulator adoption as social proof</w:t>
      </w:r>
    </w:p>
    <w:p>
      <w:pPr>
        <w:pStyle w:val="ListParagraph"/>
        <w:numPr>
          <w:ilvl w:val="0"/>
          <w:numId w:val="2"/>
        </w:numPr>
        <w:spacing w:after="80" w:line="276"/>
      </w:pPr>
      <w:r>
        <w:rPr>
          <w:rFonts w:ascii="Arial" w:cs="Arial" w:eastAsia="Arial" w:hAnsi="Arial"/>
          <w:color w:val="374151"/>
          <w:sz w:val="21"/>
          <w:szCs w:val="21"/>
        </w:rPr>
        <w:t xml:space="preserve">Begin custom scenario development for first paying client</w:t>
      </w:r>
    </w:p>
    <w:p>
      <w:pPr>
        <w:pStyle w:val="ListParagraph"/>
        <w:numPr>
          <w:ilvl w:val="0"/>
          <w:numId w:val="2"/>
        </w:numPr>
        <w:spacing w:after="80" w:line="276"/>
      </w:pPr>
      <w:r>
        <w:rPr>
          <w:rFonts w:ascii="Arial" w:cs="Arial" w:eastAsia="Arial" w:hAnsi="Arial"/>
          <w:color w:val="374151"/>
          <w:sz w:val="21"/>
          <w:szCs w:val="21"/>
        </w:rPr>
        <w:t xml:space="preserve">Produce quarterly intelligence brief (public, not bespoke) as nurture content for stalled accounts</w:t>
      </w:r>
    </w:p>
    <w:p>
      <w:pPr>
        <w:spacing w:after="120" w:before="120"/>
      </w:pPr>
    </w:p>
    <w:p>
      <w:pPr>
        <w:pStyle w:val="Heading1"/>
        <w:spacing w:after="200" w:before="360"/>
      </w:pPr>
      <w:r>
        <w:rPr>
          <w:rFonts w:ascii="Arial" w:cs="Arial" w:eastAsia="Arial" w:hAnsi="Arial"/>
          <w:b/>
          <w:bCs/>
          <w:color w:val="0A1628"/>
          <w:sz w:val="32"/>
          <w:szCs w:val="32"/>
        </w:rPr>
        <w:t xml:space="preserve">7. Decision Gate: What Must Be True</w:t>
      </w:r>
    </w:p>
    <w:p>
      <w:pPr>
        <w:spacing w:after="120" w:line="276"/>
      </w:pPr>
      <w:r>
        <w:rPr>
          <w:rFonts w:ascii="Arial" w:cs="Arial" w:eastAsia="Arial" w:hAnsi="Arial"/>
          <w:color w:val="374151"/>
          <w:sz w:val="21"/>
          <w:szCs w:val="21"/>
        </w:rPr>
        <w:t xml:space="preserve">Before executing this plan, the following must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374151"/>
                <w:sz w:val="21"/>
                <w:szCs w:val="21"/>
              </w:rPr>
              <w:t xml:space="preserve">Backend deployed and stable on Railway with &lt; 2s response time for full 17-stage pipeline run</w:t>
            </w:r>
          </w:p>
          <w:p>
            <w:pPr>
              <w:pStyle w:val="ListParagraph"/>
              <w:numPr>
                <w:ilvl w:val="0"/>
                <w:numId w:val="2"/>
              </w:numPr>
              <w:spacing w:after="80"/>
            </w:pPr>
            <w:r>
              <w:rPr>
                <w:rFonts w:ascii="Arial" w:cs="Arial" w:eastAsia="Arial" w:hAnsi="Arial"/>
                <w:color w:val="374151"/>
                <w:sz w:val="21"/>
                <w:szCs w:val="21"/>
              </w:rPr>
              <w:t xml:space="preserve">Decision Command Center UI is production-grade (verified: 99 tests passing, zero TS errors)</w:t>
            </w:r>
          </w:p>
          <w:p>
            <w:pPr>
              <w:pStyle w:val="ListParagraph"/>
              <w:numPr>
                <w:ilvl w:val="0"/>
                <w:numId w:val="2"/>
              </w:numPr>
              <w:spacing w:after="80"/>
            </w:pPr>
            <w:r>
              <w:rPr>
                <w:rFonts w:ascii="Arial" w:cs="Arial" w:eastAsia="Arial" w:hAnsi="Arial"/>
                <w:color w:val="374151"/>
                <w:sz w:val="21"/>
                <w:szCs w:val="21"/>
              </w:rPr>
              <w:t xml:space="preserve">PDF export of simulation results works (for intelligence brief generation)</w:t>
            </w:r>
          </w:p>
          <w:p>
            <w:pPr>
              <w:pStyle w:val="ListParagraph"/>
              <w:numPr>
                <w:ilvl w:val="0"/>
                <w:numId w:val="2"/>
              </w:numPr>
              <w:spacing w:after="80"/>
            </w:pPr>
            <w:r>
              <w:rPr>
                <w:rFonts w:ascii="Arial" w:cs="Arial" w:eastAsia="Arial" w:hAnsi="Arial"/>
                <w:color w:val="374151"/>
                <w:sz w:val="21"/>
                <w:szCs w:val="21"/>
              </w:rPr>
              <w:t xml:space="preserve">All 15 scenarios in the catalog produce valid, non-error outputs</w:t>
            </w:r>
          </w:p>
          <w:p>
            <w:pPr>
              <w:pStyle w:val="ListParagraph"/>
              <w:numPr>
                <w:ilvl w:val="0"/>
                <w:numId w:val="2"/>
              </w:numPr>
              <w:spacing w:after="80"/>
            </w:pPr>
            <w:r>
              <w:rPr>
                <w:rFonts w:ascii="Arial" w:cs="Arial" w:eastAsia="Arial" w:hAnsi="Arial"/>
                <w:color w:val="374151"/>
                <w:sz w:val="21"/>
                <w:szCs w:val="21"/>
              </w:rPr>
              <w:t xml:space="preserve">On-premise deployment path documented (Mac M4 Max Docker Compose) for data-sovereign prospects</w:t>
            </w:r>
          </w:p>
          <w:p>
            <w:pPr>
              <w:pStyle w:val="ListParagraph"/>
              <w:numPr>
                <w:ilvl w:val="0"/>
                <w:numId w:val="2"/>
              </w:numPr>
              <w:spacing w:after="80"/>
            </w:pPr>
            <w:r>
              <w:rPr>
                <w:rFonts w:ascii="Arial" w:cs="Arial" w:eastAsia="Arial" w:hAnsi="Arial"/>
                <w:color w:val="374151"/>
                <w:sz w:val="21"/>
                <w:szCs w:val="21"/>
              </w:rPr>
              <w:t xml:space="preserve">Arabic bilingual content in UI is complete (labels, actions, narratives)</w:t>
            </w:r>
          </w:p>
          <w:p>
            <w:pPr>
              <w:pStyle w:val="ListParagraph"/>
              <w:numPr>
                <w:ilvl w:val="0"/>
                <w:numId w:val="2"/>
              </w:numPr>
              <w:spacing w:after="40"/>
            </w:pPr>
            <w:r>
              <w:rPr>
                <w:rFonts w:ascii="Arial" w:cs="Arial" w:eastAsia="Arial" w:hAnsi="Arial"/>
                <w:color w:val="374151"/>
                <w:sz w:val="21"/>
                <w:szCs w:val="21"/>
              </w:rPr>
              <w:t xml:space="preserve">At least one warm introduction path exists for 3 of the 5 Tier 1 named accounts</w:t>
            </w:r>
          </w:p>
        </w:tc>
      </w:tr>
    </w:tbl>
    <w:p>
      <w:pPr>
        <w:spacing w:after="200" w:before="200"/>
      </w:pPr>
    </w:p>
    <w:p>
      <w:pPr>
        <w:pBdr>
          <w:top w:val="single" w:color="D1D5DB" w:sz="2" w:space="12"/>
        </w:pBdr>
        <w:spacing w:before="200"/>
        <w:jc w:val="center"/>
      </w:pPr>
      <w:r>
        <w:rPr>
          <w:rFonts w:ascii="Arial" w:cs="Arial" w:eastAsia="Arial" w:hAnsi="Arial"/>
          <w:b/>
          <w:bCs/>
          <w:color w:val="6B7280"/>
          <w:sz w:val="18"/>
          <w:szCs w:val="18"/>
        </w:rPr>
        <w:t xml:space="preserve">END OF DOCUMENT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B7280"/>
        <w:sz w:val="16"/>
        <w:szCs w:val="16"/>
      </w:rPr>
      <w:t xml:space="preserve">Deevo Analytics  |  April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color w:val="6B7280"/>
        <w:sz w:val="16"/>
        <w:szCs w:val="16"/>
      </w:rPr>
      <w:t xml:space="preserve">Impact Observatory  |  GTM Strategy</w:t>
    </w:r>
    <w:r>
      <w:rPr>
        <w:rFonts w:ascii="Arial" w:cs="Arial" w:eastAsia="Arial" w:hAnsi="Arial"/>
        <w:b/>
        <w:bCs/>
        <w:color w:val="DC262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2026-04-08T08:22:46.517Z</dcterms:created>
  <dcterms:modified xsi:type="dcterms:W3CDTF">2026-04-08T08:22:46.517Z</dcterms:modified>
</cp:coreProperties>
</file>

<file path=docProps/custom.xml><?xml version="1.0" encoding="utf-8"?>
<Properties xmlns="http://schemas.openxmlformats.org/officeDocument/2006/custom-properties" xmlns:vt="http://schemas.openxmlformats.org/officeDocument/2006/docPropsVTypes"/>
</file>