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Impact Observatory</w:t>
      </w:r>
    </w:p>
    <w:p>
      <w:pPr>
        <w:spacing w:after="6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مرصد الأثر</w:t>
      </w:r>
    </w:p>
    <w:p>
      <w:pPr>
        <w:pBdr>
          <w:bottom w:val="single" w:color="2E75B6" w:sz="8" w:space="8"/>
        </w:pBdr>
        <w:spacing w:after="200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Production Deployment Architecture Report</w:t>
      </w:r>
    </w:p>
    <w:p>
      <w:p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April 9, 2026  |  Repository: github.com/PyBADR/impact-observatory</w:t>
      </w:r>
    </w:p>
    <w:p>
      <w:pPr>
        <w:spacing w:after="4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Classification: Enterprise Deployment — GCC Financial Markets</w:t>
      </w:r>
    </w:p>
    <w:p>
      <w:pPr>
        <w:pStyle w:val="Heading1"/>
      </w:pPr>
      <w:r>
        <w:t xml:space="preserve">1. Deployment Architecture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Impact Observatory platform follows a decoupled frontend/backend architecture deployed across two managed PaaS providers, maximizing global edge delivery for the frontend while maintaining dedicated compute for the 17-stage simulation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+ React 19 + TypeScript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Edge Network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Python 3.12 + Pydantic v2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(Docker)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+ PostGIS 3.4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/ Docker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DB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5.18 Community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 Alpine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(3 workflows)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runners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Production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https://deevo-sim.vercel.app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(via proxy)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https://deevo-sim.vercel.app/api/v1/*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(direct)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https://api.impact-observatory.io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https://deevo-sim.vercel.app/health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https://api.impact-observatory.io/docs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https://github.com/PyBADR/impact-observatory</w:t>
            </w:r>
          </w:p>
        </w:tc>
      </w:tr>
    </w:tbl>
    <w:p>
      <w:pPr>
        <w:pStyle w:val="Heading1"/>
        <w:spacing w:before="300"/>
      </w:pPr>
      <w:r>
        <w:t xml:space="preserve">3. Integration Verification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status:ok, engine:SimulationEngine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/api/v1/scenarios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GCC scenarios returned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/api/v1/runs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runs, 4-16ms execution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/api/v1/nodes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 nodes across 9 sectors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/api/v1/decisions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queue operational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/api/v1/outcomes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Outcomes endpoint operational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+ dashboard rendering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*.vercel.app regex + origins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113/113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contract tests pass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Environment Variables (Masked)</w:t>
      </w:r>
    </w:p>
    <w:p>
      <w:pPr>
        <w:pStyle w:val="Heading2"/>
        <w:spacing w:after="100"/>
      </w:pPr>
      <w:r>
        <w:t xml:space="preserve">4.1 Backend (Railway)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00"/>
        <w:gridCol w:w="1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APP_ENV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API_KEY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********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JWT_SECRET_KEY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********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POSTGRES_HOST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(Railway internal)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********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https://deevo-sim.vercel.app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LOG_LEVEL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before="200"/>
      </w:pPr>
      <w:r>
        <w:t xml:space="preserve">4.2 Frontend (Vercel)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400"/>
        <w:gridCol w:w="17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https://api.impact-observatory.io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NEXT_PUBLIC_MAPBOX_TOKEN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********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NEXT_PUBLIC_CESIUM_TOKEN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********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Issues Found and Remediation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1800"/>
        <w:gridCol w:w="3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used Python 3.11 instead of 3.12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ci.yml env var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Ruff linted app/ not src/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to src/ tests/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tests skipped in CI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vitest step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runtime.txt pinned Python 3.10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to 3.12.0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ran as root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Non-root iouser added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Single-stage Docker 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Multi-stage builder+runtime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security headers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HSTS+X-Frame+XSS headers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HEALTHCHECK instruction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Docker HEALTHCHECK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retries was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Increased to 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Production Readiness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800"/>
        <w:gridCol w:w="276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(frontend + backend)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Auto-provisioned TLS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secrets in repository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 covers .env, *.pem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 vars secured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Platform-level injection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exposed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 → 200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configured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+ explicit origins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JSON errors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 access + app logs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Non-root container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iouser (fixed this audit)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HSTS, X-Frame, XSS-Protect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audit trails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 middleware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workflows active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Recommended: slowapi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backups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automated config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Scaling Recommendations</w:t>
      </w:r>
    </w:p>
    <w:p>
      <w:pPr>
        <w:pStyle w:val="Heading2"/>
      </w:pPr>
      <w:r>
        <w:t xml:space="preserve">Immediate (Week 1-2)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rate limiting (slowapi) — 60 req/min per IP on /api/v1/runs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Railway auto-scaling: min 1, max 3 replicas, CPU threshold 70%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PostgreSQL automated backups (daily, 7-day retention) for IFRS 17 compliance</w:t>
      </w:r>
    </w:p>
    <w:p>
      <w:pPr>
        <w:pStyle w:val="Heading2"/>
      </w:pPr>
      <w:r>
        <w:t xml:space="preserve">Short-term (Month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 caching for scenario catalog + node registry (TTL 5min)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Structured logging with correlation IDs for request tracing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Sentry/APM for error tracking and performance monitoring</w:t>
      </w:r>
    </w:p>
    <w:p>
      <w:pPr>
        <w:pStyle w:val="Heading2"/>
      </w:pPr>
      <w:r>
        <w:t xml:space="preserve">Medium-term (Quarter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Migrate to Kubernetes (EKS/GKE) for multi-region. GCC data sovereignty requires ME-SOUTH-1 or ME-CENTRAL-1 compute.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Blue-green deployments with canary traffic splitting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WebSocket support for real-time simulation streaming</w:t>
      </w:r>
    </w:p>
    <w:p>
      <w:pPr>
        <w:pStyle w:val="Heading2"/>
      </w:pPr>
      <w:r>
        <w:t xml:space="preserve">Long-term (Year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Multi-tenant isolation: tenant-specific PostgreSQL schemas + Neo4j graph partitioning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PDPL compliance audit: data residency enforcement, consent management, right-to-deletion APIs</w:t>
      </w:r>
    </w:p>
    <w:p>
      <w:pPr>
        <w:pBdr>
          <w:bottom w:val="single" w:color="2E75B6" w:sz="4" w:space="8"/>
        </w:pBdr>
        <w:spacing w:after="20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Report — Impact Observatory | مرصد الأثر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Impact Observatory | Deployment Architecture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2026-04-09T03:03:20.801Z</dcterms:created>
  <dcterms:modified xsi:type="dcterms:W3CDTF">2026-04-09T03:03:20.802Z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