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00"/>
        <w:jc w:val="center"/>
      </w:pPr>
      <w:r>
        <w:rPr>
          <w:rFonts w:ascii="Arial" w:cs="Arial" w:eastAsia="Arial" w:hAnsi="Arial"/>
          <w:b/>
          <w:bCs/>
          <w:color w:val="0B1D3A"/>
          <w:sz w:val="56"/>
          <w:szCs w:val="56"/>
        </w:rPr>
        <w:t xml:space="preserve">IMPACT OBSERVATORY</w:t>
      </w:r>
    </w:p>
    <w:p>
      <w:pPr>
        <w:spacing w:after="60"/>
        <w:jc w:val="center"/>
      </w:pPr>
      <w:r>
        <w:rPr>
          <w:rFonts w:ascii="Arial" w:cs="Arial" w:eastAsia="Arial" w:hAnsi="Arial"/>
          <w:color w:val="00897B"/>
          <w:sz w:val="44"/>
          <w:szCs w:val="44"/>
        </w:rPr>
        <w:t xml:space="preserve">مرصد الأثر</w:t>
      </w:r>
    </w:p>
    <w:p>
      <w:pPr>
        <w:spacing w:after="0" w:before="200"/>
      </w:pPr>
    </w:p>
    <w:p>
      <w:pPr>
        <w:pBdr>
          <w:bottom w:val="single" w:color="D4A843" w:sz="6" w:space="8"/>
        </w:pBdr>
        <w:spacing w:after="200"/>
        <w:jc w:val="center"/>
      </w:pPr>
      <w:r>
        <w:rPr>
          <w:rFonts w:ascii="Arial" w:cs="Arial" w:eastAsia="Arial" w:hAnsi="Arial"/>
          <w:color w:val="455A64"/>
          <w:sz w:val="32"/>
          <w:szCs w:val="32"/>
        </w:rPr>
        <w:t xml:space="preserve">Product Narrative &amp; Positioning</w:t>
      </w:r>
    </w:p>
    <w:p>
      <w:pPr>
        <w:spacing w:after="0" w:before="300"/>
      </w:pPr>
    </w:p>
    <w:p>
      <w:pPr>
        <w:spacing w:after="80"/>
        <w:jc w:val="center"/>
      </w:pPr>
      <w:r>
        <w:rPr>
          <w:rFonts w:ascii="Arial" w:cs="Arial" w:eastAsia="Arial" w:hAnsi="Arial"/>
          <w:i/>
          <w:iCs/>
          <w:color w:val="455A64"/>
          <w:sz w:val="24"/>
          <w:szCs w:val="24"/>
        </w:rPr>
        <w:t xml:space="preserve">Decision Intelligence for GCC Financial Systems</w:t>
      </w:r>
    </w:p>
    <w:p>
      <w:pPr>
        <w:spacing w:after="80"/>
        <w:jc w:val="center"/>
      </w:pPr>
      <w:r>
        <w:rPr>
          <w:rFonts w:ascii="Arial" w:cs="Arial" w:eastAsia="Arial" w:hAnsi="Arial"/>
          <w:color w:val="00897B"/>
          <w:sz w:val="22"/>
          <w:szCs w:val="22"/>
        </w:rPr>
        <w:t xml:space="preserve">From Signal to Outcome in One Screen</w:t>
      </w:r>
    </w:p>
    <w:p>
      <w:pPr>
        <w:spacing w:after="0" w:before="600"/>
      </w:pPr>
    </w:p>
    <w:p>
      <w:pPr>
        <w:jc w:val="center"/>
      </w:pPr>
      <w:r>
        <w:rPr>
          <w:rFonts w:ascii="Arial" w:cs="Arial" w:eastAsia="Arial" w:hAnsi="Arial"/>
          <w:color w:val="999999"/>
          <w:sz w:val="20"/>
          <w:szCs w:val="20"/>
        </w:rPr>
        <w:t xml:space="preserve">CONFIDENTIAL  |  April 2026  |  Deevo Analytics</w:t>
      </w:r>
    </w:p>
    <w:p>
      <w:pPr>
        <w:spacing w:before="80"/>
        <w:jc w:val="center"/>
      </w:pPr>
      <w:r>
        <w:rPr>
          <w:rFonts w:ascii="Arial" w:cs="Arial" w:eastAsia="Arial" w:hAnsi="Arial"/>
          <w:color w:val="AAAAAA"/>
          <w:sz w:val="18"/>
          <w:szCs w:val="18"/>
        </w:rPr>
        <w:t xml:space="preserve">Version 1.0  |  Product Strategy Document</w:t>
      </w:r>
    </w:p>
    <w:p>
      <w:pPr>
        <w:sectPr>
          <w:pgSz w:w="12240" w:h="15840" w:orient="portrait"/>
          <w:pgMar w:top="1440" w:right="1440" w:bottom="1440" w:left="1440" w:header="708" w:footer="708" w:gutter="0"/>
          <w:pgNumType/>
          <w:docGrid w:linePitch="360"/>
        </w:sectPr>
      </w:pPr>
    </w:p>
    <w:p>
      <w:r>
        <w:br w:type="page"/>
      </w:r>
    </w:p>
    <w:p>
      <w:pPr>
        <w:pStyle w:val="Heading1"/>
        <w:spacing w:after="200" w:before="400"/>
      </w:pPr>
      <w:r>
        <w:rPr>
          <w:rFonts w:ascii="Arial" w:cs="Arial" w:eastAsia="Arial" w:hAnsi="Arial"/>
          <w:b/>
          <w:bCs/>
          <w:color w:val="0B1D3A"/>
          <w:sz w:val="36"/>
          <w:szCs w:val="36"/>
        </w:rPr>
        <w:t xml:space="preserve">1. Product Definition</w:t>
      </w:r>
    </w:p>
    <w:p>
      <w:pPr>
        <w:pBdr>
          <w:bottom w:val="single" w:color="D4A843" w:sz="4" w:space="1"/>
        </w:pBdr>
        <w:spacing w:after="200" w:before="200"/>
      </w:pPr>
    </w:p>
    <w:p>
      <w:pPr>
        <w:pStyle w:val="Heading2"/>
        <w:spacing w:after="150" w:before="300"/>
      </w:pPr>
      <w:r>
        <w:rPr>
          <w:rFonts w:ascii="Arial" w:cs="Arial" w:eastAsia="Arial" w:hAnsi="Arial"/>
          <w:b/>
          <w:bCs/>
          <w:color w:val="00897B"/>
          <w:sz w:val="28"/>
          <w:szCs w:val="28"/>
        </w:rPr>
        <w:t xml:space="preserve">What Impact Observatory Is</w:t>
      </w:r>
    </w:p>
    <w:p>
      <w:pPr>
        <w:spacing w:after="160" w:line="276"/>
        <w:jc w:val="left"/>
      </w:pPr>
      <w:r>
        <w:rPr>
          <w:rFonts w:ascii="Arial" w:cs="Arial" w:eastAsia="Arial" w:hAnsi="Arial"/>
          <w:color w:val="333333"/>
          <w:sz w:val="22"/>
          <w:szCs w:val="22"/>
        </w:rPr>
        <w:t xml:space="preserve">Impact Observatory is a decision intelligence platform that transforms geopolitical and financial shocks into actionable decisions for GCC institutional leaders. It does not display data. It does not generate dashboards. It compresses a 17-stage computational simulation of systemic risk propagation into a single-screen decision terminal where a CEO, CRO, or central bank governor can see the threat, understand its path, evaluate pre-computed decisions, and act — all within five seconds of screen time.</w:t>
      </w:r>
    </w:p>
    <w:p>
      <w:pPr>
        <w:spacing w:after="160" w:line="276"/>
        <w:jc w:val="left"/>
      </w:pPr>
      <w:r>
        <w:rPr>
          <w:rFonts w:ascii="Arial" w:cs="Arial" w:eastAsia="Arial" w:hAnsi="Arial"/>
          <w:color w:val="333333"/>
          <w:sz w:val="22"/>
          <w:szCs w:val="22"/>
        </w:rPr>
        <w:t xml:space="preserve">The platform runs a deterministic 43-node, 15-scenario, 9-sector simulation engine that models how shocks propagate through the interconnected GCC financial ecosystem — from energy chokepoints through maritime logistics into banking liquidity, insurance exposure, and fintech settlement layers. Every simulation produces a Unified Risk Score, sector-level stress indices, causal propagation chains, and a ranked set of decision actions with computed net values.</w:t>
      </w:r>
    </w:p>
    <w:p>
      <w:pPr>
        <w:pStyle w:val="Heading2"/>
        <w:spacing w:after="150" w:before="300"/>
      </w:pPr>
      <w:r>
        <w:rPr>
          <w:rFonts w:ascii="Arial" w:cs="Arial" w:eastAsia="Arial" w:hAnsi="Arial"/>
          <w:b/>
          <w:bCs/>
          <w:color w:val="00897B"/>
          <w:sz w:val="28"/>
          <w:szCs w:val="28"/>
        </w:rPr>
        <w:t xml:space="preserve">What It Is Not</w:t>
      </w:r>
    </w:p>
    <w:p>
      <w:pPr>
        <w:spacing w:after="160" w:line="276"/>
        <w:jc w:val="left"/>
      </w:pPr>
      <w:r>
        <w:rPr>
          <w:rFonts w:ascii="Arial" w:cs="Arial" w:eastAsia="Arial" w:hAnsi="Arial"/>
          <w:color w:val="333333"/>
          <w:sz w:val="22"/>
          <w:szCs w:val="22"/>
        </w:rPr>
        <w:t xml:space="preserve">It is not a BI tool. It is not a risk dashboard. It is not an analytics suite with filters and drill-downs. It is not a monitoring system that waits for thresholds. It is a decision machine: the output is not information, it is a recommended action with a computed cost, a confidence interval, and a provenance trail that traces every number back to its originating formula weight.</w:t>
      </w:r>
    </w:p>
    <w:p>
      <w:pPr>
        <w:pStyle w:val="Heading2"/>
        <w:spacing w:after="150" w:before="300"/>
      </w:pPr>
      <w:r>
        <w:rPr>
          <w:rFonts w:ascii="Arial" w:cs="Arial" w:eastAsia="Arial" w:hAnsi="Arial"/>
          <w:b/>
          <w:bCs/>
          <w:color w:val="00897B"/>
          <w:sz w:val="28"/>
          <w:szCs w:val="28"/>
        </w:rPr>
        <w:t xml:space="preserve">The One-Line Definition</w:t>
      </w:r>
    </w:p>
    <w:p>
      <w:pPr>
        <w:pBdr>
          <w:left w:val="single" w:color="D4A843" w:sz="12" w:space="8"/>
        </w:pBdr>
        <w:spacing w:after="200" w:before="100"/>
        <w:ind w:left="720"/>
      </w:pPr>
      <w:r>
        <w:rPr>
          <w:rFonts w:ascii="Arial" w:cs="Arial" w:eastAsia="Arial" w:hAnsi="Arial"/>
          <w:b/>
          <w:bCs/>
          <w:i/>
          <w:iCs/>
          <w:color w:val="0B1D3A"/>
          <w:sz w:val="26"/>
          <w:szCs w:val="26"/>
        </w:rPr>
        <w:t xml:space="preserve">Impact Observatory turns geopolitical shocks into institutional decisions before the market reacts.</w:t>
      </w:r>
    </w:p>
    <w:p>
      <w:pPr>
        <w:pStyle w:val="Heading2"/>
        <w:spacing w:after="150" w:before="300"/>
      </w:pPr>
      <w:r>
        <w:rPr>
          <w:rFonts w:ascii="Arial" w:cs="Arial" w:eastAsia="Arial" w:hAnsi="Arial"/>
          <w:b/>
          <w:bCs/>
          <w:color w:val="00897B"/>
          <w:sz w:val="28"/>
          <w:szCs w:val="28"/>
        </w:rPr>
        <w:t xml:space="preserve">Category &amp; Competitive Frame</w:t>
      </w:r>
    </w:p>
    <w:p>
      <w:pPr>
        <w:spacing w:after="160" w:line="276"/>
        <w:jc w:val="left"/>
      </w:pPr>
      <w:r>
        <w:rPr>
          <w:rFonts w:ascii="Arial" w:cs="Arial" w:eastAsia="Arial" w:hAnsi="Arial"/>
          <w:color w:val="333333"/>
          <w:sz w:val="22"/>
          <w:szCs w:val="22"/>
        </w:rPr>
        <w:t xml:space="preserve">Impact Observatory occupies the intersection of three categories that no single incumbent addresses: Decision Intelligence (what Palantir sells to defense, applied to finance), Systemic Risk Analytics (what central banks build internally but never operationalize for commercial use), and Scenario Simulation (what McKinsey delivers as consulting engagements, productized into real-time software).</w:t>
      </w:r>
    </w:p>
    <w:p>
      <w:pPr>
        <w:spacing w:after="160" w:line="276"/>
        <w:jc w:val="left"/>
      </w:pPr>
      <w:r>
        <w:rPr>
          <w:rFonts w:ascii="Arial" w:cs="Arial" w:eastAsia="Arial" w:hAnsi="Arial"/>
          <w:color w:val="333333"/>
          <w:sz w:val="22"/>
          <w:szCs w:val="22"/>
        </w:rPr>
        <w:t xml:space="preserve">The reference set is not other insurance-tech or risk-dashboard vendors. The positioning benchmarks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vAlign w:val="center"/>
          </w:tcPr>
          <w:p>
            <w:pPr>
              <w:spacing w:after="40"/>
            </w:pPr>
            <w:r>
              <w:rPr>
                <w:rFonts w:ascii="Arial" w:cs="Arial" w:eastAsia="Arial" w:hAnsi="Arial"/>
                <w:b/>
                <w:bCs/>
                <w:color w:val="FFFFFF"/>
                <w:sz w:val="20"/>
                <w:szCs w:val="20"/>
              </w:rPr>
              <w:t xml:space="preserve">Benchmark</w:t>
            </w:r>
          </w:p>
        </w:tc>
        <w:tc>
          <w:tcPr>
            <w:tcW w:type="dxa" w:w="240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vAlign w:val="center"/>
          </w:tcPr>
          <w:p>
            <w:pPr>
              <w:spacing w:after="40"/>
            </w:pPr>
            <w:r>
              <w:rPr>
                <w:rFonts w:ascii="Arial" w:cs="Arial" w:eastAsia="Arial" w:hAnsi="Arial"/>
                <w:b/>
                <w:bCs/>
                <w:color w:val="FFFFFF"/>
                <w:sz w:val="20"/>
                <w:szCs w:val="20"/>
              </w:rPr>
              <w:t xml:space="preserve">What They Proved</w:t>
            </w:r>
          </w:p>
        </w:tc>
        <w:tc>
          <w:tcPr>
            <w:tcW w:type="dxa" w:w="456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vAlign w:val="center"/>
          </w:tcPr>
          <w:p>
            <w:pPr>
              <w:spacing w:after="40"/>
            </w:pPr>
            <w:r>
              <w:rPr>
                <w:rFonts w:ascii="Arial" w:cs="Arial" w:eastAsia="Arial" w:hAnsi="Arial"/>
                <w:b/>
                <w:bCs/>
                <w:color w:val="FFFFFF"/>
                <w:sz w:val="20"/>
                <w:szCs w:val="20"/>
              </w:rPr>
              <w:t xml:space="preserve">What We Take Further</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Palantir Gotham</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Decision intelligence sells at sovereign scale</w:t>
            </w:r>
          </w:p>
        </w:tc>
        <w:tc>
          <w:tcPr>
            <w:tcW w:type="dxa" w:w="4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We apply it to financial systems, not military theater</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Bloomberg Terminal</w:t>
            </w:r>
          </w:p>
        </w:tc>
        <w:tc>
          <w:tcPr>
            <w:tcW w:type="dxa" w:w="24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One screen = entire workflow</w:t>
            </w:r>
          </w:p>
        </w:tc>
        <w:tc>
          <w:tcPr>
            <w:tcW w:type="dxa" w:w="45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We compress decision, not just information display</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Shift Technology</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AI-first insurance processing</w:t>
            </w:r>
          </w:p>
        </w:tc>
        <w:tc>
          <w:tcPr>
            <w:tcW w:type="dxa" w:w="4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We go upstream — from claims fraud to systemic decision</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ZhongAn</w:t>
            </w:r>
          </w:p>
        </w:tc>
        <w:tc>
          <w:tcPr>
            <w:tcW w:type="dxa" w:w="24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Fully digital underwriting at scale</w:t>
            </w:r>
          </w:p>
        </w:tc>
        <w:tc>
          <w:tcPr>
            <w:tcW w:type="dxa" w:w="45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We add geopolitical propagation awareness to digital insurance</w:t>
            </w:r>
          </w:p>
        </w:tc>
      </w:tr>
    </w:tbl>
    <w:p>
      <w:r>
        <w:br w:type="page"/>
      </w:r>
    </w:p>
    <w:p>
      <w:pPr>
        <w:pStyle w:val="Heading1"/>
        <w:spacing w:after="200" w:before="400"/>
      </w:pPr>
      <w:r>
        <w:rPr>
          <w:rFonts w:ascii="Arial" w:cs="Arial" w:eastAsia="Arial" w:hAnsi="Arial"/>
          <w:b/>
          <w:bCs/>
          <w:color w:val="0B1D3A"/>
          <w:sz w:val="36"/>
          <w:szCs w:val="36"/>
        </w:rPr>
        <w:t xml:space="preserve">2. The Four-Layer Intelligence Architecture</w:t>
      </w:r>
    </w:p>
    <w:p>
      <w:pPr>
        <w:pBdr>
          <w:bottom w:val="single" w:color="D4A843" w:sz="4" w:space="1"/>
        </w:pBdr>
        <w:spacing w:after="200" w:before="200"/>
      </w:pPr>
    </w:p>
    <w:p>
      <w:pPr>
        <w:spacing w:after="160" w:line="276"/>
        <w:jc w:val="left"/>
      </w:pPr>
      <w:r>
        <w:rPr>
          <w:rFonts w:ascii="Arial" w:cs="Arial" w:eastAsia="Arial" w:hAnsi="Arial"/>
          <w:color w:val="333333"/>
          <w:sz w:val="22"/>
          <w:szCs w:val="22"/>
        </w:rPr>
        <w:t xml:space="preserve">Every component in Impact Observatory maps to exactly one of four layers. This is not a technical architecture diagram — it is the product logic. A user moving through the interface is moving through these layers, from raw signal to final outcome, whether they know it or not.</w:t>
      </w:r>
    </w:p>
    <w:p>
      <w:pPr>
        <w:pStyle w:val="Heading2"/>
        <w:spacing w:after="150" w:before="300"/>
      </w:pPr>
      <w:r>
        <w:rPr>
          <w:rFonts w:ascii="Arial" w:cs="Arial" w:eastAsia="Arial" w:hAnsi="Arial"/>
          <w:b/>
          <w:bCs/>
          <w:color w:val="00897B"/>
          <w:sz w:val="28"/>
          <w:szCs w:val="28"/>
        </w:rPr>
        <w:t xml:space="preserve">Layer 1: Signal — What Happened?</w:t>
      </w:r>
    </w:p>
    <w:p>
      <w:pPr>
        <w:pBdr>
          <w:left w:val="single" w:color="1565C0" w:sz="8" w:space="6"/>
        </w:pBdr>
        <w:spacing w:after="100"/>
        <w:ind w:left="360"/>
      </w:pPr>
      <w:r>
        <w:rPr>
          <w:rFonts w:ascii="Arial" w:cs="Arial" w:eastAsia="Arial" w:hAnsi="Arial"/>
          <w:i/>
          <w:iCs/>
          <w:color w:val="455A64"/>
          <w:sz w:val="22"/>
          <w:szCs w:val="22"/>
        </w:rPr>
        <w:t xml:space="preserve">The event detection and severity computation layer. Before any analysis, the system must answer: what is the nature of the shock, how severe is it, and which nodes does it hit first?</w:t>
      </w:r>
    </w:p>
    <w:p>
      <w:pPr>
        <w:spacing w:after="0" w:before="80"/>
      </w:pPr>
    </w:p>
    <w:p>
      <w:pPr>
        <w:spacing w:after="160" w:line="276"/>
        <w:jc w:val="left"/>
      </w:pPr>
      <w:r>
        <w:rPr>
          <w:rFonts w:ascii="Arial" w:cs="Arial" w:eastAsia="Arial" w:hAnsi="Arial"/>
          <w:color w:val="333333"/>
          <w:sz w:val="22"/>
          <w:szCs w:val="22"/>
        </w:rPr>
        <w:t xml:space="preserve">The Signal Layer ingests a scenario definition (one of 15 calibrated scenarios spanning Hormuz closure, Saudi oil shock, UAE banking crisis, GCC cyber attack, Red Sea trade corridor instability, and 10 others) and computes the Event Severity Score using the formula Es = w1*I + w2*D + w3*U + w4*G, where infrastructure impact, disruption scale, utilization stress, and geopolitical amplification are weighted at 0.25, 0.30, 0.20, and 0.25 respectively.</w:t>
      </w:r>
    </w:p>
    <w:p>
      <w:pPr>
        <w:spacing w:after="160" w:line="276"/>
        <w:jc w:val="left"/>
      </w:pPr>
      <w:r>
        <w:rPr>
          <w:rFonts w:ascii="Arial" w:cs="Arial" w:eastAsia="Arial" w:hAnsi="Arial"/>
          <w:color w:val="333333"/>
          <w:sz w:val="22"/>
          <w:szCs w:val="22"/>
        </w:rPr>
        <w:t xml:space="preserve">This is not a black box. Every weight is declared in a single config.py file. Every coefficient is auditable. The Signal Layer produces the initial shock parameters that feed every downstream computation.</w:t>
      </w:r>
    </w:p>
    <w:p>
      <w:pPr>
        <w:spacing w:after="100" w:before="200"/>
      </w:pPr>
      <w:r>
        <w:rPr>
          <w:rFonts w:ascii="Arial" w:cs="Arial" w:eastAsia="Arial" w:hAnsi="Arial"/>
          <w:b/>
          <w:bCs/>
          <w:color w:val="455A64"/>
          <w:sz w:val="24"/>
          <w:szCs w:val="24"/>
        </w:rPr>
        <w:t xml:space="preserve">Modules in This Layer</w:t>
      </w:r>
    </w:p>
    <w:p>
      <w:pPr>
        <w:spacing w:after="160" w:line="276"/>
        <w:jc w:val="left"/>
      </w:pPr>
      <w:r>
        <w:rPr>
          <w:rFonts w:ascii="Arial" w:cs="Arial" w:eastAsia="Arial" w:hAnsi="Arial"/>
          <w:color w:val="333333"/>
          <w:sz w:val="22"/>
          <w:szCs w:val="22"/>
        </w:rPr>
        <w:t xml:space="preserve">Scenario Catalog (15 scenarios), Event Severity Engine, Node Graph (43 interconnected GCC nodes), Shock Injection Pipeline.</w:t>
      </w:r>
    </w:p>
    <w:p>
      <w:pPr>
        <w:pStyle w:val="Heading2"/>
        <w:spacing w:after="150" w:before="300"/>
      </w:pPr>
      <w:r>
        <w:rPr>
          <w:rFonts w:ascii="Arial" w:cs="Arial" w:eastAsia="Arial" w:hAnsi="Arial"/>
          <w:b/>
          <w:bCs/>
          <w:color w:val="00897B"/>
          <w:sz w:val="28"/>
          <w:szCs w:val="28"/>
        </w:rPr>
        <w:t xml:space="preserve">Layer 2: Impact — Where Does It Go?</w:t>
      </w:r>
    </w:p>
    <w:p>
      <w:pPr>
        <w:pBdr>
          <w:left w:val="single" w:color="E65100" w:sz="8" w:space="6"/>
        </w:pBdr>
        <w:spacing w:after="100"/>
        <w:ind w:left="360"/>
      </w:pPr>
      <w:r>
        <w:rPr>
          <w:rFonts w:ascii="Arial" w:cs="Arial" w:eastAsia="Arial" w:hAnsi="Arial"/>
          <w:i/>
          <w:iCs/>
          <w:color w:val="455A64"/>
          <w:sz w:val="22"/>
          <w:szCs w:val="22"/>
        </w:rPr>
        <w:t xml:space="preserve">The propagation and exposure computation layer. Once the shock exists, the system must answer: how does it move through the financial network, which sectors absorb it, and what are the quantified losses?</w:t>
      </w:r>
    </w:p>
    <w:p>
      <w:pPr>
        <w:spacing w:after="0" w:before="80"/>
      </w:pPr>
    </w:p>
    <w:p>
      <w:pPr>
        <w:spacing w:after="160" w:line="276"/>
        <w:jc w:val="left"/>
      </w:pPr>
      <w:r>
        <w:rPr>
          <w:rFonts w:ascii="Arial" w:cs="Arial" w:eastAsia="Arial" w:hAnsi="Arial"/>
          <w:color w:val="333333"/>
          <w:sz w:val="22"/>
          <w:szCs w:val="22"/>
        </w:rPr>
        <w:t xml:space="preserve">The Impact Layer runs sector exposure computation (Exposure_j = alpha_j * Es * V_j * C_j across 9 sectors: energy, maritime, banking, insurance, fintech, logistics, infrastructure, government, healthcare), temporal propagation modeling (X_t+1 = beta*P*X_t + (1-beta)*X_t + S_t over a configurable time horizon), and physics-validated shock wave simulation through the node graph.</w:t>
      </w:r>
    </w:p>
    <w:p>
      <w:pPr>
        <w:spacing w:after="160" w:line="276"/>
        <w:jc w:val="left"/>
      </w:pPr>
      <w:r>
        <w:rPr>
          <w:rFonts w:ascii="Arial" w:cs="Arial" w:eastAsia="Arial" w:hAnsi="Arial"/>
          <w:color w:val="333333"/>
          <w:sz w:val="22"/>
          <w:szCs w:val="22"/>
        </w:rPr>
        <w:t xml:space="preserve">The output is not a single number. It is a full propagation chain: which node was hit first, which nodes absorbed secondary exposure, what is the time-to-peak stress, what is the loss at each sector level. The Causal Chain visualization in the UI traces this path step by step, with each link showing the transmission mechanism and computed amplitude.</w:t>
      </w:r>
    </w:p>
    <w:p>
      <w:pPr>
        <w:spacing w:after="160" w:line="276"/>
        <w:jc w:val="left"/>
      </w:pPr>
      <w:r>
        <w:rPr>
          <w:rFonts w:ascii="Arial" w:cs="Arial" w:eastAsia="Arial" w:hAnsi="Arial"/>
          <w:color w:val="333333"/>
          <w:sz w:val="22"/>
          <w:szCs w:val="22"/>
        </w:rPr>
        <w:t xml:space="preserve">This layer also produces the Liquidity Stress Index (LSI = l1*W + l2*F + l3*M + l4*C), the Insurance Stress Index (ISI = m1*Cf + m2*LR + m3*Re + m4*Od), and entity-level stress for individual banks, insurers, and fintech players.</w:t>
      </w:r>
    </w:p>
    <w:p>
      <w:pPr>
        <w:spacing w:after="100" w:before="200"/>
      </w:pPr>
      <w:r>
        <w:rPr>
          <w:rFonts w:ascii="Arial" w:cs="Arial" w:eastAsia="Arial" w:hAnsi="Arial"/>
          <w:b/>
          <w:bCs/>
          <w:color w:val="455A64"/>
          <w:sz w:val="24"/>
          <w:szCs w:val="24"/>
        </w:rPr>
        <w:t xml:space="preserve">Modules in This Layer</w:t>
      </w:r>
    </w:p>
    <w:p>
      <w:pPr>
        <w:spacing w:after="160" w:line="276"/>
        <w:jc w:val="left"/>
      </w:pPr>
      <w:r>
        <w:rPr>
          <w:rFonts w:ascii="Arial" w:cs="Arial" w:eastAsia="Arial" w:hAnsi="Arial"/>
          <w:color w:val="333333"/>
          <w:sz w:val="22"/>
          <w:szCs w:val="22"/>
        </w:rPr>
        <w:t xml:space="preserve">Propagation Engine, Sector Exposure Calculator, Physics Intelligence (node utilization, bottleneck scores, congestion, flow conservation), Entity Intelligence (banking, insurance, fintech entity generation), Liquidity &amp; Insurance Stress Indices.</w:t>
      </w:r>
    </w:p>
    <w:p>
      <w:pPr>
        <w:pStyle w:val="Heading2"/>
        <w:spacing w:after="150" w:before="300"/>
      </w:pPr>
      <w:r>
        <w:rPr>
          <w:rFonts w:ascii="Arial" w:cs="Arial" w:eastAsia="Arial" w:hAnsi="Arial"/>
          <w:b/>
          <w:bCs/>
          <w:color w:val="00897B"/>
          <w:sz w:val="28"/>
          <w:szCs w:val="28"/>
        </w:rPr>
        <w:t xml:space="preserve">Layer 3: Decision — What Should We Do?</w:t>
      </w:r>
    </w:p>
    <w:p>
      <w:pPr>
        <w:pBdr>
          <w:left w:val="single" w:color="D4A843" w:sz="8" w:space="6"/>
        </w:pBdr>
        <w:spacing w:after="100"/>
        <w:ind w:left="360"/>
      </w:pPr>
      <w:r>
        <w:rPr>
          <w:rFonts w:ascii="Arial" w:cs="Arial" w:eastAsia="Arial" w:hAnsi="Arial"/>
          <w:i/>
          <w:iCs/>
          <w:color w:val="455A64"/>
          <w:sz w:val="22"/>
          <w:szCs w:val="22"/>
        </w:rPr>
        <w:t xml:space="preserve">The action computation and ranking layer. Impact without decision is just anxiety. This layer transforms quantified exposure into ranked, costed, explainable institutional actions.</w:t>
      </w:r>
    </w:p>
    <w:p>
      <w:pPr>
        <w:spacing w:after="0" w:before="80"/>
      </w:pPr>
    </w:p>
    <w:p>
      <w:pPr>
        <w:spacing w:after="160" w:line="276"/>
        <w:jc w:val="left"/>
      </w:pPr>
      <w:r>
        <w:rPr>
          <w:rFonts w:ascii="Arial" w:cs="Arial" w:eastAsia="Arial" w:hAnsi="Arial"/>
          <w:color w:val="333333"/>
          <w:sz w:val="22"/>
          <w:szCs w:val="22"/>
        </w:rPr>
        <w:t xml:space="preserve">The Decision Layer takes the full output of the Impact Layer — sector exposures, entity stress, propagation depth, loss figures — and produces a ranked set of Decision Actions. Each action has a title, a description, a computed net value in USD, a confidence score, an urgency classification, and a set of escalation triggers that define when the action should activate.</w:t>
      </w:r>
    </w:p>
    <w:p>
      <w:pPr>
        <w:spacing w:after="160" w:line="276"/>
        <w:jc w:val="left"/>
      </w:pPr>
      <w:r>
        <w:rPr>
          <w:rFonts w:ascii="Arial" w:cs="Arial" w:eastAsia="Arial" w:hAnsi="Arial"/>
          <w:color w:val="333333"/>
          <w:sz w:val="22"/>
          <w:szCs w:val="22"/>
        </w:rPr>
        <w:t xml:space="preserve">This is the layer that makes Impact Observatory a decision platform rather than an analytics tool. The system does not say "banking stress is 0.72." It says "Activate emergency liquidity facility ($2.1B net value, 87% confidence, escalation trigger: if banking stress exceeds 0.75 within 48 hours)." The user is not interpreting data. The user is approving or rejecting a pre-computed institutional response.</w:t>
      </w:r>
    </w:p>
    <w:p>
      <w:pPr>
        <w:spacing w:after="160" w:line="276"/>
        <w:jc w:val="left"/>
      </w:pPr>
      <w:r>
        <w:rPr>
          <w:rFonts w:ascii="Arial" w:cs="Arial" w:eastAsia="Arial" w:hAnsi="Arial"/>
          <w:color w:val="333333"/>
          <w:sz w:val="22"/>
          <w:szCs w:val="22"/>
        </w:rPr>
        <w:t xml:space="preserve">The Decision Layer also generates the Five Questions framework — the five most critical questions a decision-maker should be asking given the current scenario state — and Monitoring Priorities that define what metrics to watch in the hours following an event.</w:t>
      </w:r>
    </w:p>
    <w:p>
      <w:pPr>
        <w:spacing w:after="100" w:before="200"/>
      </w:pPr>
      <w:r>
        <w:rPr>
          <w:rFonts w:ascii="Arial" w:cs="Arial" w:eastAsia="Arial" w:hAnsi="Arial"/>
          <w:b/>
          <w:bCs/>
          <w:color w:val="455A64"/>
          <w:sz w:val="24"/>
          <w:szCs w:val="24"/>
        </w:rPr>
        <w:t xml:space="preserve">Modules in This Layer</w:t>
      </w:r>
    </w:p>
    <w:p>
      <w:pPr>
        <w:spacing w:after="160" w:line="276"/>
        <w:jc w:val="left"/>
      </w:pPr>
      <w:r>
        <w:rPr>
          <w:rFonts w:ascii="Arial" w:cs="Arial" w:eastAsia="Arial" w:hAnsi="Arial"/>
          <w:color w:val="333333"/>
          <w:sz w:val="22"/>
          <w:szCs w:val="22"/>
        </w:rPr>
        <w:t xml:space="preserve">Decision Action Builder, Five Questions Generator, Escalation Trigger Engine, Monitoring Priority Ranker, Decision Trust Scoring, Confidence Score Computation (Conf = r1*DQ + r2*MC + r3*HS + r4*ST).</w:t>
      </w:r>
    </w:p>
    <w:p>
      <w:pPr>
        <w:pStyle w:val="Heading2"/>
        <w:spacing w:after="150" w:before="300"/>
      </w:pPr>
      <w:r>
        <w:rPr>
          <w:rFonts w:ascii="Arial" w:cs="Arial" w:eastAsia="Arial" w:hAnsi="Arial"/>
          <w:b/>
          <w:bCs/>
          <w:color w:val="00897B"/>
          <w:sz w:val="28"/>
          <w:szCs w:val="28"/>
        </w:rPr>
        <w:t xml:space="preserve">Layer 4: Outcome — Did It Work?</w:t>
      </w:r>
    </w:p>
    <w:p>
      <w:pPr>
        <w:pBdr>
          <w:left w:val="single" w:color="2E7D32" w:sz="8" w:space="6"/>
        </w:pBdr>
        <w:spacing w:after="100"/>
        <w:ind w:left="360"/>
      </w:pPr>
      <w:r>
        <w:rPr>
          <w:rFonts w:ascii="Arial" w:cs="Arial" w:eastAsia="Arial" w:hAnsi="Arial"/>
          <w:i/>
          <w:iCs/>
          <w:color w:val="455A64"/>
          <w:sz w:val="22"/>
          <w:szCs w:val="22"/>
        </w:rPr>
        <w:t xml:space="preserve">The governance, audit, and institutional accountability layer. Every decision must be traceable. Every number must be explainable. Every action must have a provenance chain from output back to formula weight.</w:t>
      </w:r>
    </w:p>
    <w:p>
      <w:pPr>
        <w:spacing w:after="0" w:before="80"/>
      </w:pPr>
    </w:p>
    <w:p>
      <w:pPr>
        <w:spacing w:after="160" w:line="276"/>
        <w:jc w:val="left"/>
      </w:pPr>
      <w:r>
        <w:rPr>
          <w:rFonts w:ascii="Arial" w:cs="Arial" w:eastAsia="Arial" w:hAnsi="Arial"/>
          <w:color w:val="333333"/>
          <w:sz w:val="22"/>
          <w:szCs w:val="22"/>
        </w:rPr>
        <w:t xml:space="preserve">The Outcome Layer provides the governance substrate: SHA-256 audit trails on every simulation run, full provenance chains that trace any displayed metric back through the computation graph to its source formula and input weights, IFRS 17 compliance scaffolding for insurance-sector actions, and human-in-the-loop decision gates where actions require explicit approval before institutional execution.</w:t>
      </w:r>
    </w:p>
    <w:p>
      <w:pPr>
        <w:spacing w:after="160" w:line="276"/>
        <w:jc w:val="left"/>
      </w:pPr>
      <w:r>
        <w:rPr>
          <w:rFonts w:ascii="Arial" w:cs="Arial" w:eastAsia="Arial" w:hAnsi="Arial"/>
          <w:color w:val="333333"/>
          <w:sz w:val="22"/>
          <w:szCs w:val="22"/>
        </w:rPr>
        <w:t xml:space="preserve">This layer answers the question that kills enterprise deals: "Can we explain this to the regulator?" The answer is yes, because every Decision Action card in the UI has a WhyMetricInline component that shows exactly why that number is what it is, tracing through factor breakdowns, metric ranges, and formula references.</w:t>
      </w:r>
    </w:p>
    <w:p>
      <w:pPr>
        <w:spacing w:after="160" w:line="276"/>
        <w:jc w:val="left"/>
      </w:pPr>
      <w:r>
        <w:rPr>
          <w:rFonts w:ascii="Arial" w:cs="Arial" w:eastAsia="Arial" w:hAnsi="Arial"/>
          <w:color w:val="333333"/>
          <w:sz w:val="22"/>
          <w:szCs w:val="22"/>
        </w:rPr>
        <w:t xml:space="preserve">The Outcome Layer also houses the Recovery Trajectory model — the computed path from current stress back to nominal conditions — and the Counterfactual Engine that shows what would happen if the decision is NOT taken.</w:t>
      </w:r>
    </w:p>
    <w:p>
      <w:pPr>
        <w:spacing w:after="100" w:before="200"/>
      </w:pPr>
      <w:r>
        <w:rPr>
          <w:rFonts w:ascii="Arial" w:cs="Arial" w:eastAsia="Arial" w:hAnsi="Arial"/>
          <w:b/>
          <w:bCs/>
          <w:color w:val="455A64"/>
          <w:sz w:val="24"/>
          <w:szCs w:val="24"/>
        </w:rPr>
        <w:t xml:space="preserve">Modules in This Layer</w:t>
      </w:r>
    </w:p>
    <w:p>
      <w:pPr>
        <w:spacing w:after="160" w:line="276"/>
        <w:jc w:val="left"/>
      </w:pPr>
      <w:r>
        <w:rPr>
          <w:rFonts w:ascii="Arial" w:cs="Arial" w:eastAsia="Arial" w:hAnsi="Arial"/>
          <w:color w:val="333333"/>
          <w:sz w:val="22"/>
          <w:szCs w:val="22"/>
        </w:rPr>
        <w:t xml:space="preserve">Provenance Engine, Audit Trail (SHA-256), IFRS 17 Compliance Layer, Human-in-the-Loop Decision Gates, Recovery Trajectory Model, Counterfactual Engine, Evidence &amp; Governance Panel, Pilot Readiness Assessment.</w:t>
      </w:r>
    </w:p>
    <w:p>
      <w:r>
        <w:br w:type="page"/>
      </w:r>
    </w:p>
    <w:p>
      <w:pPr>
        <w:pStyle w:val="Heading1"/>
        <w:spacing w:after="200" w:before="400"/>
      </w:pPr>
      <w:r>
        <w:rPr>
          <w:rFonts w:ascii="Arial" w:cs="Arial" w:eastAsia="Arial" w:hAnsi="Arial"/>
          <w:b/>
          <w:bCs/>
          <w:color w:val="0B1D3A"/>
          <w:sz w:val="36"/>
          <w:szCs w:val="36"/>
        </w:rPr>
        <w:t xml:space="preserve">3. Module Map — Every Component Has a Home</w:t>
      </w:r>
    </w:p>
    <w:p>
      <w:pPr>
        <w:pBdr>
          <w:bottom w:val="single" w:color="D4A843" w:sz="4" w:space="1"/>
        </w:pBdr>
        <w:spacing w:after="200" w:before="200"/>
      </w:pPr>
    </w:p>
    <w:p>
      <w:pPr>
        <w:spacing w:after="160" w:line="276"/>
        <w:jc w:val="left"/>
      </w:pPr>
      <w:r>
        <w:rPr>
          <w:rFonts w:ascii="Arial" w:cs="Arial" w:eastAsia="Arial" w:hAnsi="Arial"/>
          <w:color w:val="333333"/>
          <w:sz w:val="22"/>
          <w:szCs w:val="22"/>
        </w:rPr>
        <w:t xml:space="preserve">The following table maps every deployed module to its layer, its user-facing surface, and its role in the decision flow. No module exists without a purpose. No module is disconnected from the four-layer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000"/>
        <w:gridCol w:w="2960"/>
      </w:tblGrid>
      <w:tr>
        <w:tc>
          <w:tcPr>
            <w:tcW w:type="dxa" w:w="220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vAlign w:val="center"/>
          </w:tcPr>
          <w:p>
            <w:pPr>
              <w:spacing w:after="40"/>
            </w:pPr>
            <w:r>
              <w:rPr>
                <w:rFonts w:ascii="Arial" w:cs="Arial" w:eastAsia="Arial" w:hAnsi="Arial"/>
                <w:b/>
                <w:bCs/>
                <w:color w:val="FFFFFF"/>
                <w:sz w:val="20"/>
                <w:szCs w:val="20"/>
              </w:rPr>
              <w:t xml:space="preserve">Module</w:t>
            </w:r>
          </w:p>
        </w:tc>
        <w:tc>
          <w:tcPr>
            <w:tcW w:type="dxa" w:w="120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vAlign w:val="center"/>
          </w:tcPr>
          <w:p>
            <w:pPr>
              <w:spacing w:after="40"/>
            </w:pPr>
            <w:r>
              <w:rPr>
                <w:rFonts w:ascii="Arial" w:cs="Arial" w:eastAsia="Arial" w:hAnsi="Arial"/>
                <w:b/>
                <w:bCs/>
                <w:color w:val="FFFFFF"/>
                <w:sz w:val="20"/>
                <w:szCs w:val="20"/>
              </w:rPr>
              <w:t xml:space="preserve">Layer</w:t>
            </w:r>
          </w:p>
        </w:tc>
        <w:tc>
          <w:tcPr>
            <w:tcW w:type="dxa" w:w="300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vAlign w:val="center"/>
          </w:tcPr>
          <w:p>
            <w:pPr>
              <w:spacing w:after="40"/>
            </w:pPr>
            <w:r>
              <w:rPr>
                <w:rFonts w:ascii="Arial" w:cs="Arial" w:eastAsia="Arial" w:hAnsi="Arial"/>
                <w:b/>
                <w:bCs/>
                <w:color w:val="FFFFFF"/>
                <w:sz w:val="20"/>
                <w:szCs w:val="20"/>
              </w:rPr>
              <w:t xml:space="preserve">User Surface</w:t>
            </w:r>
          </w:p>
        </w:tc>
        <w:tc>
          <w:tcPr>
            <w:tcW w:type="dxa" w:w="296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vAlign w:val="center"/>
          </w:tcPr>
          <w:p>
            <w:pPr>
              <w:spacing w:after="40"/>
            </w:pPr>
            <w:r>
              <w:rPr>
                <w:rFonts w:ascii="Arial" w:cs="Arial" w:eastAsia="Arial" w:hAnsi="Arial"/>
                <w:b/>
                <w:bCs/>
                <w:color w:val="FFFFFF"/>
                <w:sz w:val="20"/>
                <w:szCs w:val="20"/>
              </w:rPr>
              <w:t xml:space="preserve">Decision Role</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Scenario Catalog</w:t>
            </w:r>
          </w:p>
        </w:tc>
        <w:tc>
          <w:tcPr>
            <w:tcW w:type="dxa" w:w="1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b/>
                <w:bCs/>
                <w:color w:val="1565C0"/>
                <w:sz w:val="20"/>
                <w:szCs w:val="20"/>
              </w:rPr>
              <w:t xml:space="preserve">Signal</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Scenario selector dropdown</w:t>
            </w:r>
          </w:p>
        </w:tc>
        <w:tc>
          <w:tcPr>
            <w:tcW w:type="dxa" w:w="2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Defines the shock to simulate</w:t>
            </w:r>
          </w:p>
        </w:tc>
      </w:tr>
      <w:tr>
        <w:tc>
          <w:tcPr>
            <w:tcW w:type="dxa" w:w="2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Event Severity Engine</w:t>
            </w:r>
          </w:p>
        </w:tc>
        <w:tc>
          <w:tcPr>
            <w:tcW w:type="dxa" w:w="1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b/>
                <w:bCs/>
                <w:color w:val="1565C0"/>
                <w:sz w:val="20"/>
                <w:szCs w:val="20"/>
              </w:rPr>
              <w:t xml:space="preserve">Signal</w:t>
            </w:r>
          </w:p>
        </w:tc>
        <w:tc>
          <w:tcPr>
            <w:tcW w:type="dxa" w:w="3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Severity badge in Executive Snapshot</w:t>
            </w:r>
          </w:p>
        </w:tc>
        <w:tc>
          <w:tcPr>
            <w:tcW w:type="dxa" w:w="29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Quantifies shock magnitude</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Propagation Engine</w:t>
            </w:r>
          </w:p>
        </w:tc>
        <w:tc>
          <w:tcPr>
            <w:tcW w:type="dxa" w:w="1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b/>
                <w:bCs/>
                <w:color w:val="E65100"/>
                <w:sz w:val="20"/>
                <w:szCs w:val="20"/>
              </w:rPr>
              <w:t xml:space="preserve">Impact</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Causal Chain visualization (Level 3)</w:t>
            </w:r>
          </w:p>
        </w:tc>
        <w:tc>
          <w:tcPr>
            <w:tcW w:type="dxa" w:w="2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Maps shock transmission path</w:t>
            </w:r>
          </w:p>
        </w:tc>
      </w:tr>
      <w:tr>
        <w:tc>
          <w:tcPr>
            <w:tcW w:type="dxa" w:w="2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Sector Exposure</w:t>
            </w:r>
          </w:p>
        </w:tc>
        <w:tc>
          <w:tcPr>
            <w:tcW w:type="dxa" w:w="1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b/>
                <w:bCs/>
                <w:color w:val="E65100"/>
                <w:sz w:val="20"/>
                <w:szCs w:val="20"/>
              </w:rPr>
              <w:t xml:space="preserve">Impact</w:t>
            </w:r>
          </w:p>
        </w:tc>
        <w:tc>
          <w:tcPr>
            <w:tcW w:type="dxa" w:w="3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SectorStressV2 tabs (Level 2)</w:t>
            </w:r>
          </w:p>
        </w:tc>
        <w:tc>
          <w:tcPr>
            <w:tcW w:type="dxa" w:w="29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Quantifies per-sector damage</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Physics Intelligence</w:t>
            </w:r>
          </w:p>
        </w:tc>
        <w:tc>
          <w:tcPr>
            <w:tcW w:type="dxa" w:w="1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b/>
                <w:bCs/>
                <w:color w:val="E65100"/>
                <w:sz w:val="20"/>
                <w:szCs w:val="20"/>
              </w:rPr>
              <w:t xml:space="preserve">Impact</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Node utilization, bottleneck indicators</w:t>
            </w:r>
          </w:p>
        </w:tc>
        <w:tc>
          <w:tcPr>
            <w:tcW w:type="dxa" w:w="2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Validates propagation physics</w:t>
            </w:r>
          </w:p>
        </w:tc>
      </w:tr>
      <w:tr>
        <w:tc>
          <w:tcPr>
            <w:tcW w:type="dxa" w:w="2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Entity Intelligence</w:t>
            </w:r>
          </w:p>
        </w:tc>
        <w:tc>
          <w:tcPr>
            <w:tcW w:type="dxa" w:w="1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b/>
                <w:bCs/>
                <w:color w:val="E65100"/>
                <w:sz w:val="20"/>
                <w:szCs w:val="20"/>
              </w:rPr>
              <w:t xml:space="preserve">Impact</w:t>
            </w:r>
          </w:p>
        </w:tc>
        <w:tc>
          <w:tcPr>
            <w:tcW w:type="dxa" w:w="3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Banking Decision View panel</w:t>
            </w:r>
          </w:p>
        </w:tc>
        <w:tc>
          <w:tcPr>
            <w:tcW w:type="dxa" w:w="29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Institution-level stress scores</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Decision Actions</w:t>
            </w:r>
          </w:p>
        </w:tc>
        <w:tc>
          <w:tcPr>
            <w:tcW w:type="dxa" w:w="1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b/>
                <w:bCs/>
                <w:color w:val="D4A843"/>
                <w:sz w:val="20"/>
                <w:szCs w:val="20"/>
              </w:rPr>
              <w:t xml:space="preserve">Decision</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DecisionReasonCards (Level 2)</w:t>
            </w:r>
          </w:p>
        </w:tc>
        <w:tc>
          <w:tcPr>
            <w:tcW w:type="dxa" w:w="2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Ranked institutional actions</w:t>
            </w:r>
          </w:p>
        </w:tc>
      </w:tr>
      <w:tr>
        <w:tc>
          <w:tcPr>
            <w:tcW w:type="dxa" w:w="2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Five Questions</w:t>
            </w:r>
          </w:p>
        </w:tc>
        <w:tc>
          <w:tcPr>
            <w:tcW w:type="dxa" w:w="1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b/>
                <w:bCs/>
                <w:color w:val="D4A843"/>
                <w:sz w:val="20"/>
                <w:szCs w:val="20"/>
              </w:rPr>
              <w:t xml:space="preserve">Decision</w:t>
            </w:r>
          </w:p>
        </w:tc>
        <w:tc>
          <w:tcPr>
            <w:tcW w:type="dxa" w:w="3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Decision prompt cards</w:t>
            </w:r>
          </w:p>
        </w:tc>
        <w:tc>
          <w:tcPr>
            <w:tcW w:type="dxa" w:w="29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Frames executive thinking</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Escalation Triggers</w:t>
            </w:r>
          </w:p>
        </w:tc>
        <w:tc>
          <w:tcPr>
            <w:tcW w:type="dxa" w:w="1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b/>
                <w:bCs/>
                <w:color w:val="D4A843"/>
                <w:sz w:val="20"/>
                <w:szCs w:val="20"/>
              </w:rPr>
              <w:t xml:space="preserve">Decision</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Trigger indicators on action cards</w:t>
            </w:r>
          </w:p>
        </w:tc>
        <w:tc>
          <w:tcPr>
            <w:tcW w:type="dxa" w:w="2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Defines activation conditions</w:t>
            </w:r>
          </w:p>
        </w:tc>
      </w:tr>
      <w:tr>
        <w:tc>
          <w:tcPr>
            <w:tcW w:type="dxa" w:w="2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Decision Trust</w:t>
            </w:r>
          </w:p>
        </w:tc>
        <w:tc>
          <w:tcPr>
            <w:tcW w:type="dxa" w:w="1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b/>
                <w:bCs/>
                <w:color w:val="D4A843"/>
                <w:sz w:val="20"/>
                <w:szCs w:val="20"/>
              </w:rPr>
              <w:t xml:space="preserve">Decision</w:t>
            </w:r>
          </w:p>
        </w:tc>
        <w:tc>
          <w:tcPr>
            <w:tcW w:type="dxa" w:w="3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Decision Trust Panel (accordion)</w:t>
            </w:r>
          </w:p>
        </w:tc>
        <w:tc>
          <w:tcPr>
            <w:tcW w:type="dxa" w:w="29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Confidence scoring for decisions</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Provenance Engine</w:t>
            </w:r>
          </w:p>
        </w:tc>
        <w:tc>
          <w:tcPr>
            <w:tcW w:type="dxa" w:w="1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b/>
                <w:bCs/>
                <w:color w:val="2E7D32"/>
                <w:sz w:val="20"/>
                <w:szCs w:val="20"/>
              </w:rPr>
              <w:t xml:space="preserve">Outcome</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WhyMetricInline, RangeBar, factor breakdowns</w:t>
            </w:r>
          </w:p>
        </w:tc>
        <w:tc>
          <w:tcPr>
            <w:tcW w:type="dxa" w:w="2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Full audit trail to formula weights</w:t>
            </w:r>
          </w:p>
        </w:tc>
      </w:tr>
      <w:tr>
        <w:tc>
          <w:tcPr>
            <w:tcW w:type="dxa" w:w="2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Evidence &amp; Governance</w:t>
            </w:r>
          </w:p>
        </w:tc>
        <w:tc>
          <w:tcPr>
            <w:tcW w:type="dxa" w:w="1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b/>
                <w:bCs/>
                <w:color w:val="2E7D32"/>
                <w:sz w:val="20"/>
                <w:szCs w:val="20"/>
              </w:rPr>
              <w:t xml:space="preserve">Outcome</w:t>
            </w:r>
          </w:p>
        </w:tc>
        <w:tc>
          <w:tcPr>
            <w:tcW w:type="dxa" w:w="3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Evidence &amp; Governance Panel</w:t>
            </w:r>
          </w:p>
        </w:tc>
        <w:tc>
          <w:tcPr>
            <w:tcW w:type="dxa" w:w="29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Regulatory compliance surface</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CFO Value Model</w:t>
            </w:r>
          </w:p>
        </w:tc>
        <w:tc>
          <w:tcPr>
            <w:tcW w:type="dxa" w:w="1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b/>
                <w:bCs/>
                <w:color w:val="2E7D32"/>
                <w:sz w:val="20"/>
                <w:szCs w:val="20"/>
              </w:rPr>
              <w:t xml:space="preserve">Outcome</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CFO Value Panel (accordion)</w:t>
            </w:r>
          </w:p>
        </w:tc>
        <w:tc>
          <w:tcPr>
            <w:tcW w:type="dxa" w:w="2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ROI and loss-avoidance metrics</w:t>
            </w:r>
          </w:p>
        </w:tc>
      </w:tr>
      <w:tr>
        <w:tc>
          <w:tcPr>
            <w:tcW w:type="dxa" w:w="2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Pilot Readiness</w:t>
            </w:r>
          </w:p>
        </w:tc>
        <w:tc>
          <w:tcPr>
            <w:tcW w:type="dxa" w:w="1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b/>
                <w:bCs/>
                <w:color w:val="2E7D32"/>
                <w:sz w:val="20"/>
                <w:szCs w:val="20"/>
              </w:rPr>
              <w:t xml:space="preserve">Outcome</w:t>
            </w:r>
          </w:p>
        </w:tc>
        <w:tc>
          <w:tcPr>
            <w:tcW w:type="dxa" w:w="3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Pilot Panel (accordion)</w:t>
            </w:r>
          </w:p>
        </w:tc>
        <w:tc>
          <w:tcPr>
            <w:tcW w:type="dxa" w:w="29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Deployment readiness assessment</w:t>
            </w:r>
          </w:p>
        </w:tc>
      </w:tr>
    </w:tbl>
    <w:p>
      <w:r>
        <w:br w:type="page"/>
      </w:r>
    </w:p>
    <w:p>
      <w:pPr>
        <w:pStyle w:val="Heading1"/>
        <w:spacing w:after="200" w:before="400"/>
      </w:pPr>
      <w:r>
        <w:rPr>
          <w:rFonts w:ascii="Arial" w:cs="Arial" w:eastAsia="Arial" w:hAnsi="Arial"/>
          <w:b/>
          <w:bCs/>
          <w:color w:val="0B1D3A"/>
          <w:sz w:val="36"/>
          <w:szCs w:val="36"/>
        </w:rPr>
        <w:t xml:space="preserve">4. The Single-Screen Experience</w:t>
      </w:r>
    </w:p>
    <w:p>
      <w:pPr>
        <w:pBdr>
          <w:bottom w:val="single" w:color="D4A843" w:sz="4" w:space="1"/>
        </w:pBdr>
        <w:spacing w:after="200" w:before="200"/>
      </w:pPr>
    </w:p>
    <w:p>
      <w:pPr>
        <w:spacing w:after="160" w:line="276"/>
        <w:jc w:val="left"/>
      </w:pPr>
      <w:r>
        <w:rPr>
          <w:rFonts w:ascii="Arial" w:cs="Arial" w:eastAsia="Arial" w:hAnsi="Arial"/>
          <w:color w:val="333333"/>
          <w:sz w:val="22"/>
          <w:szCs w:val="22"/>
        </w:rPr>
        <w:t xml:space="preserve">Impact Observatory is a single URL, a single screen, and a single cognitive flow. There are no navigation tabs, no sidebar menus, no page transitions. The user opens the platform and sees everything they need, organized in a progressive disclosure model that respects their time and cognitive load.</w:t>
      </w:r>
    </w:p>
    <w:p>
      <w:pPr>
        <w:pStyle w:val="Heading2"/>
        <w:spacing w:after="150" w:before="300"/>
      </w:pPr>
      <w:r>
        <w:rPr>
          <w:rFonts w:ascii="Arial" w:cs="Arial" w:eastAsia="Arial" w:hAnsi="Arial"/>
          <w:b/>
          <w:bCs/>
          <w:color w:val="00897B"/>
          <w:sz w:val="28"/>
          <w:szCs w:val="28"/>
        </w:rPr>
        <w:t xml:space="preserve">Progressive Disclosure: Three Depth Levels</w:t>
      </w:r>
    </w:p>
    <w:p>
      <w:pPr>
        <w:spacing w:after="100" w:before="200"/>
      </w:pPr>
      <w:r>
        <w:rPr>
          <w:rFonts w:ascii="Arial" w:cs="Arial" w:eastAsia="Arial" w:hAnsi="Arial"/>
          <w:b/>
          <w:bCs/>
          <w:color w:val="455A64"/>
          <w:sz w:val="24"/>
          <w:szCs w:val="24"/>
        </w:rPr>
        <w:t xml:space="preserve">Level 1 — Executive Snapshot (5 Seconds)</w:t>
      </w:r>
    </w:p>
    <w:p>
      <w:pPr>
        <w:spacing w:after="160" w:line="276"/>
        <w:jc w:val="left"/>
      </w:pPr>
      <w:r>
        <w:rPr>
          <w:rFonts w:ascii="Arial" w:cs="Arial" w:eastAsia="Arial" w:hAnsi="Arial"/>
          <w:color w:val="333333"/>
          <w:sz w:val="22"/>
          <w:szCs w:val="22"/>
        </w:rPr>
        <w:t xml:space="preserve">Visible immediately on load. Four rows, zero scrolling required. Row 1: scenario identity and severity badge (the what). Row 2: one-line propagation statement in natural language (the path). Row 3: three impact cards showing loss range, risk level, and breach timing (the damage). Row 4: three decision summaries showing recommended actions with net values (the response). This is the entire product for a CEO who has 5 seconds between meetings.</w:t>
      </w:r>
    </w:p>
    <w:p>
      <w:pPr>
        <w:spacing w:after="100" w:before="200"/>
      </w:pPr>
      <w:r>
        <w:rPr>
          <w:rFonts w:ascii="Arial" w:cs="Arial" w:eastAsia="Arial" w:hAnsi="Arial"/>
          <w:b/>
          <w:bCs/>
          <w:color w:val="455A64"/>
          <w:sz w:val="24"/>
          <w:szCs w:val="24"/>
        </w:rPr>
        <w:t xml:space="preserve">Level 2 — Decision Cards + Sector Stress (30 Seconds)</w:t>
      </w:r>
    </w:p>
    <w:p>
      <w:pPr>
        <w:spacing w:after="160" w:line="276"/>
        <w:jc w:val="left"/>
      </w:pPr>
      <w:r>
        <w:rPr>
          <w:rFonts w:ascii="Arial" w:cs="Arial" w:eastAsia="Arial" w:hAnsi="Arial"/>
          <w:color w:val="333333"/>
          <w:sz w:val="22"/>
          <w:szCs w:val="22"/>
        </w:rPr>
        <w:t xml:space="preserve">Expanding the depth toggle reveals two components: DecisionReasonCards (narrative explanation of each recommended action, including why it was ranked, what it costs, and what happens if it is not taken) and SectorStressV2 (tabbed sector-by-sector stress breakdown with provenance annotations). This is the working surface for a CRO who needs to understand why before approving.</w:t>
      </w:r>
    </w:p>
    <w:p>
      <w:pPr>
        <w:spacing w:after="100" w:before="200"/>
      </w:pPr>
      <w:r>
        <w:rPr>
          <w:rFonts w:ascii="Arial" w:cs="Arial" w:eastAsia="Arial" w:hAnsi="Arial"/>
          <w:b/>
          <w:bCs/>
          <w:color w:val="455A64"/>
          <w:sz w:val="24"/>
          <w:szCs w:val="24"/>
        </w:rPr>
        <w:t xml:space="preserve">Level 3 — Full Propagation Chain (2 Minutes)</w:t>
      </w:r>
    </w:p>
    <w:p>
      <w:pPr>
        <w:spacing w:after="160" w:line="276"/>
        <w:jc w:val="left"/>
      </w:pPr>
      <w:r>
        <w:rPr>
          <w:rFonts w:ascii="Arial" w:cs="Arial" w:eastAsia="Arial" w:hAnsi="Arial"/>
          <w:color w:val="333333"/>
          <w:sz w:val="22"/>
          <w:szCs w:val="22"/>
        </w:rPr>
        <w:t xml:space="preserve">Further expansion shows the complete causal propagation chain — every node, every transmission link, every amplitude change. This is the evidence base for a risk committee that needs to document the rationale.</w:t>
      </w:r>
    </w:p>
    <w:p>
      <w:pPr>
        <w:pStyle w:val="Heading2"/>
        <w:spacing w:after="150" w:before="300"/>
      </w:pPr>
      <w:r>
        <w:rPr>
          <w:rFonts w:ascii="Arial" w:cs="Arial" w:eastAsia="Arial" w:hAnsi="Arial"/>
          <w:b/>
          <w:bCs/>
          <w:color w:val="00897B"/>
          <w:sz w:val="28"/>
          <w:szCs w:val="28"/>
        </w:rPr>
        <w:t xml:space="preserve">Below the Fold: Operational Intelligence</w:t>
      </w:r>
    </w:p>
    <w:p>
      <w:pPr>
        <w:spacing w:after="160" w:line="276"/>
        <w:jc w:val="left"/>
      </w:pPr>
      <w:r>
        <w:rPr>
          <w:rFonts w:ascii="Arial" w:cs="Arial" w:eastAsia="Arial" w:hAnsi="Arial"/>
          <w:color w:val="333333"/>
          <w:sz w:val="22"/>
          <w:szCs w:val="22"/>
        </w:rPr>
        <w:t xml:space="preserve">Scrolling past DecisionRoomV2 reveals a collapsed accordion of deep-dive panels. These are not duplicate views — they provide dimensions that do not belong in the primary decision flow but are essential for institutional governance: Decision Trust (confidence scoring and model validation), Workflows (operational process recommendations), CFO Value (financial impact in CFO-native language: ROI, loss avoidance, cost of inaction), Evidence &amp; Governance (regulatory documentation), Pilot Readiness (deployment assessment), and Banking Intelligence (entity-level institutional analysis).</w:t>
      </w:r>
    </w:p>
    <w:p>
      <w:pPr>
        <w:pStyle w:val="Heading2"/>
        <w:spacing w:after="150" w:before="300"/>
      </w:pPr>
      <w:r>
        <w:rPr>
          <w:rFonts w:ascii="Arial" w:cs="Arial" w:eastAsia="Arial" w:hAnsi="Arial"/>
          <w:b/>
          <w:bCs/>
          <w:color w:val="00897B"/>
          <w:sz w:val="28"/>
          <w:szCs w:val="28"/>
        </w:rPr>
        <w:t xml:space="preserve">Why One Screen</w:t>
      </w:r>
    </w:p>
    <w:p>
      <w:pPr>
        <w:spacing w:after="160" w:line="276"/>
        <w:jc w:val="left"/>
      </w:pPr>
      <w:r>
        <w:rPr>
          <w:rFonts w:ascii="Arial" w:cs="Arial" w:eastAsia="Arial" w:hAnsi="Arial"/>
          <w:color w:val="333333"/>
          <w:sz w:val="22"/>
          <w:szCs w:val="22"/>
        </w:rPr>
        <w:t xml:space="preserve">Multi-page applications fracture decision context. When a CRO navigates from a dashboard tab to a detail tab, they lose the mental model they built on the first tab. Impact Observatory keeps the decision context intact by layering depth vertically rather than fragmenting it horizontally. The user controls how deep they go without ever losing sight of the executive summary anchored at the top.</w:t>
      </w:r>
    </w:p>
    <w:p>
      <w:r>
        <w:br w:type="page"/>
      </w:r>
    </w:p>
    <w:p>
      <w:pPr>
        <w:pStyle w:val="Heading1"/>
        <w:spacing w:after="200" w:before="400"/>
      </w:pPr>
      <w:r>
        <w:rPr>
          <w:rFonts w:ascii="Arial" w:cs="Arial" w:eastAsia="Arial" w:hAnsi="Arial"/>
          <w:b/>
          <w:bCs/>
          <w:color w:val="0B1D3A"/>
          <w:sz w:val="36"/>
          <w:szCs w:val="36"/>
        </w:rPr>
        <w:t xml:space="preserve">5. Executive Narrative</w:t>
      </w:r>
    </w:p>
    <w:p>
      <w:pPr>
        <w:pBdr>
          <w:bottom w:val="single" w:color="D4A843" w:sz="4" w:space="1"/>
        </w:pBdr>
        <w:spacing w:after="200" w:before="200"/>
      </w:pPr>
    </w:p>
    <w:p>
      <w:pPr>
        <w:pBdr>
          <w:left w:val="single" w:color="0B1D3A" w:sz="12" w:space="8"/>
        </w:pBdr>
        <w:spacing w:after="200"/>
        <w:ind w:left="360"/>
      </w:pPr>
      <w:r>
        <w:rPr>
          <w:rFonts w:ascii="Arial" w:cs="Arial" w:eastAsia="Arial" w:hAnsi="Arial"/>
          <w:i/>
          <w:iCs/>
          <w:color w:val="0B1D3A"/>
          <w:sz w:val="24"/>
          <w:szCs w:val="24"/>
        </w:rPr>
        <w:t xml:space="preserve">The GCC financial system is a $3.7 trillion interconnected network where a single chokepoint disruption can cascade through six countries in 72 hours. Every institution in this network makes decisions about systemic risk using spreadsheets, consultants, and intuition. Impact Observatory replaces all three.</w:t>
      </w:r>
    </w:p>
    <w:p>
      <w:pPr>
        <w:pStyle w:val="Heading2"/>
        <w:spacing w:after="150" w:before="300"/>
      </w:pPr>
      <w:r>
        <w:rPr>
          <w:rFonts w:ascii="Arial" w:cs="Arial" w:eastAsia="Arial" w:hAnsi="Arial"/>
          <w:b/>
          <w:bCs/>
          <w:color w:val="00897B"/>
          <w:sz w:val="28"/>
          <w:szCs w:val="28"/>
        </w:rPr>
        <w:t xml:space="preserve">The Problem We Solve</w:t>
      </w:r>
    </w:p>
    <w:p>
      <w:pPr>
        <w:spacing w:after="160" w:line="276"/>
        <w:jc w:val="left"/>
      </w:pPr>
      <w:r>
        <w:rPr>
          <w:rFonts w:ascii="Arial" w:cs="Arial" w:eastAsia="Arial" w:hAnsi="Arial"/>
          <w:color w:val="333333"/>
          <w:sz w:val="22"/>
          <w:szCs w:val="22"/>
        </w:rPr>
        <w:t xml:space="preserve">When the Strait of Hormuz faces a disruption threat, a Saudi bank CEO currently calls their CRO, who calls their risk team, who opens a spreadsheet, who emails a consultant, who delivers a PowerPoint in 72 hours. By then, the market has moved. The decision window has closed. The institution reacted instead of decided.</w:t>
      </w:r>
    </w:p>
    <w:p>
      <w:pPr>
        <w:spacing w:after="160" w:line="276"/>
        <w:jc w:val="left"/>
      </w:pPr>
      <w:r>
        <w:rPr>
          <w:rFonts w:ascii="Arial" w:cs="Arial" w:eastAsia="Arial" w:hAnsi="Arial"/>
          <w:color w:val="333333"/>
          <w:sz w:val="22"/>
          <w:szCs w:val="22"/>
        </w:rPr>
        <w:t xml:space="preserve">This is not a technology problem. It is a decision architecture problem. The data exists. The models exist. The expertise exists. What does not exist is a system that compresses the entire chain — from event detection to institutional action — into a single surface that a decision-maker can use in real time.</w:t>
      </w:r>
    </w:p>
    <w:p>
      <w:pPr>
        <w:pStyle w:val="Heading2"/>
        <w:spacing w:after="150" w:before="300"/>
      </w:pPr>
      <w:r>
        <w:rPr>
          <w:rFonts w:ascii="Arial" w:cs="Arial" w:eastAsia="Arial" w:hAnsi="Arial"/>
          <w:b/>
          <w:bCs/>
          <w:color w:val="00897B"/>
          <w:sz w:val="28"/>
          <w:szCs w:val="28"/>
        </w:rPr>
        <w:t xml:space="preserve">Our Answer</w:t>
      </w:r>
    </w:p>
    <w:p>
      <w:pPr>
        <w:spacing w:after="160" w:line="276"/>
        <w:jc w:val="left"/>
      </w:pPr>
      <w:r>
        <w:rPr>
          <w:rFonts w:ascii="Arial" w:cs="Arial" w:eastAsia="Arial" w:hAnsi="Arial"/>
          <w:color w:val="333333"/>
          <w:sz w:val="22"/>
          <w:szCs w:val="22"/>
        </w:rPr>
        <w:t xml:space="preserve">Impact Observatory is that system. It runs a deterministic 17-stage simulation that models how any of 15 calibrated geopolitical scenarios propagates through the GCC financial network. It computes sector-level exposures, entity-level stress, liquidity indices, and insurance impact. Then it goes further: it generates ranked decision actions with computed net values, confidence scores, and escalation triggers. The output is not a report. It is a decision-ready terminal.</w:t>
      </w:r>
    </w:p>
    <w:p>
      <w:pPr>
        <w:spacing w:after="160" w:line="276"/>
        <w:jc w:val="left"/>
      </w:pPr>
      <w:r>
        <w:rPr>
          <w:rFonts w:ascii="Arial" w:cs="Arial" w:eastAsia="Arial" w:hAnsi="Arial"/>
          <w:color w:val="333333"/>
          <w:sz w:val="22"/>
          <w:szCs w:val="22"/>
        </w:rPr>
        <w:t xml:space="preserve">The simulation engine is fully auditable. Every formula weight is declared in a single configuration file. Every metric displayed in the interface has a provenance chain that traces back to its originating computation. Every decision action has an explainability layer that shows why it was recommended, what assumptions it depends on, and what happens if those assumptions are wrong.</w:t>
      </w:r>
    </w:p>
    <w:p>
      <w:pPr>
        <w:pStyle w:val="Heading2"/>
        <w:spacing w:after="150" w:before="300"/>
      </w:pPr>
      <w:r>
        <w:rPr>
          <w:rFonts w:ascii="Arial" w:cs="Arial" w:eastAsia="Arial" w:hAnsi="Arial"/>
          <w:b/>
          <w:bCs/>
          <w:color w:val="00897B"/>
          <w:sz w:val="28"/>
          <w:szCs w:val="28"/>
        </w:rPr>
        <w:t xml:space="preserve">Why Now</w:t>
      </w:r>
    </w:p>
    <w:p>
      <w:pPr>
        <w:spacing w:after="160" w:line="276"/>
        <w:jc w:val="left"/>
      </w:pPr>
      <w:r>
        <w:rPr>
          <w:rFonts w:ascii="Arial" w:cs="Arial" w:eastAsia="Arial" w:hAnsi="Arial"/>
          <w:color w:val="333333"/>
          <w:sz w:val="22"/>
          <w:szCs w:val="22"/>
        </w:rPr>
        <w:t xml:space="preserve">Three forces are converging in the GCC: increasing geopolitical complexity (Hormuz, Red Sea, Iran regional dynamics), accelerating financial interconnection (cross-border banking, regional insurance harmonization, fintech settlement networks), and rising regulatory expectations (PDPL data sovereignty, IFRS 17 insurance reporting, central bank stress testing mandates). The institutions that navigate this convergence with decision intelligence will define the next era of GCC finance. Those that rely on spreadsheets and consultants will be navigating by rearview mirror.</w:t>
      </w:r>
    </w:p>
    <w:p>
      <w:pPr>
        <w:pStyle w:val="Heading2"/>
        <w:spacing w:after="150" w:before="300"/>
      </w:pPr>
      <w:r>
        <w:rPr>
          <w:rFonts w:ascii="Arial" w:cs="Arial" w:eastAsia="Arial" w:hAnsi="Arial"/>
          <w:b/>
          <w:bCs/>
          <w:color w:val="00897B"/>
          <w:sz w:val="28"/>
          <w:szCs w:val="28"/>
        </w:rPr>
        <w:t xml:space="preserve">The Business Model</w:t>
      </w:r>
    </w:p>
    <w:p>
      <w:pPr>
        <w:spacing w:after="160" w:line="276"/>
        <w:jc w:val="left"/>
      </w:pPr>
      <w:r>
        <w:rPr>
          <w:rFonts w:ascii="Arial" w:cs="Arial" w:eastAsia="Arial" w:hAnsi="Arial"/>
          <w:color w:val="333333"/>
          <w:sz w:val="22"/>
          <w:szCs w:val="22"/>
        </w:rPr>
        <w:t xml:space="preserve">Impact Observatory is an enterprise SaaS platform sold to GCC financial institutions, central banks, and sovereign wealth funds. The pricing is value-based: the platform quantifies the cost of delayed decisions and prices itself as a fraction of the loss it prevents. A single Hormuz scenario simulation that saves a $50B institution 72 hours of decision latency is worth more than the annual subscription.</w:t>
      </w:r>
    </w:p>
    <w:p>
      <w:r>
        <w:br w:type="page"/>
      </w:r>
    </w:p>
    <w:p>
      <w:pPr>
        <w:pStyle w:val="Heading1"/>
        <w:spacing w:after="200" w:before="400"/>
      </w:pPr>
      <w:r>
        <w:rPr>
          <w:rFonts w:ascii="Arial" w:cs="Arial" w:eastAsia="Arial" w:hAnsi="Arial"/>
          <w:b/>
          <w:bCs/>
          <w:color w:val="0B1D3A"/>
          <w:sz w:val="36"/>
          <w:szCs w:val="36"/>
        </w:rPr>
        <w:t xml:space="preserve">6. Three Pitches</w:t>
      </w:r>
    </w:p>
    <w:p>
      <w:pPr>
        <w:pBdr>
          <w:bottom w:val="single" w:color="D4A843" w:sz="4" w:space="1"/>
        </w:pBdr>
        <w:spacing w:after="200" w:before="200"/>
      </w:pPr>
    </w:p>
    <w:p>
      <w:pPr>
        <w:pStyle w:val="Heading2"/>
        <w:spacing w:after="150" w:before="300"/>
      </w:pPr>
      <w:r>
        <w:rPr>
          <w:rFonts w:ascii="Arial" w:cs="Arial" w:eastAsia="Arial" w:hAnsi="Arial"/>
          <w:b/>
          <w:bCs/>
          <w:color w:val="00897B"/>
          <w:sz w:val="28"/>
          <w:szCs w:val="28"/>
        </w:rPr>
        <w:t xml:space="preserve">Pitch A: To a GCC Bank CEO</w:t>
      </w:r>
    </w:p>
    <w:p>
      <w:pPr>
        <w:shd w:fill="F0F7FA" w:val="clear"/>
        <w:spacing w:after="120"/>
        <w:ind w:left="360" w:right="360"/>
      </w:pPr>
      <w:r>
        <w:rPr>
          <w:rFonts w:ascii="Arial" w:cs="Arial" w:eastAsia="Arial" w:hAnsi="Arial"/>
          <w:i/>
          <w:iCs/>
          <w:color w:val="455A64"/>
          <w:sz w:val="22"/>
          <w:szCs w:val="22"/>
        </w:rPr>
        <w:t xml:space="preserve">Context: Board room, 15 minutes. CEO has seen the Bloomberg headline about Hormuz tensions. Wants to know what it means for the bank.</w:t>
      </w:r>
    </w:p>
    <w:p>
      <w:pPr>
        <w:spacing w:after="0" w:before="60"/>
      </w:pPr>
    </w:p>
    <w:p>
      <w:pPr>
        <w:spacing w:after="160" w:line="276"/>
        <w:jc w:val="left"/>
      </w:pPr>
      <w:r>
        <w:rPr>
          <w:rFonts w:ascii="Arial" w:cs="Arial" w:eastAsia="Arial" w:hAnsi="Arial"/>
          <w:color w:val="333333"/>
          <w:sz w:val="22"/>
          <w:szCs w:val="22"/>
        </w:rPr>
        <w:t xml:space="preserve">"You saw the Hormuz headline this morning. Right now, your risk team is building a spreadsheet that will be ready Thursday. By Thursday, your competitors will have already repositioned."</w:t>
      </w:r>
    </w:p>
    <w:p>
      <w:pPr>
        <w:spacing w:after="160" w:line="276"/>
        <w:jc w:val="left"/>
      </w:pPr>
      <w:r>
        <w:rPr>
          <w:rFonts w:ascii="Arial" w:cs="Arial" w:eastAsia="Arial" w:hAnsi="Arial"/>
          <w:color w:val="333333"/>
          <w:sz w:val="22"/>
          <w:szCs w:val="22"/>
        </w:rPr>
        <w:t xml:space="preserve">"Impact Observatory shows you the answer right now. Open one screen: your bank’s exposure to a Hormuz partial blockage is $340M across direct energy holdings, trade finance, and letter-of-credit exposure. Peak stress hits in 9 days. Your banking stress index moves from 0.35 to 0.72 — that’s HIGH territory."</w:t>
      </w:r>
    </w:p>
    <w:p>
      <w:pPr>
        <w:spacing w:after="160" w:line="276"/>
        <w:jc w:val="left"/>
      </w:pPr>
      <w:r>
        <w:rPr>
          <w:rFonts w:ascii="Arial" w:cs="Arial" w:eastAsia="Arial" w:hAnsi="Arial"/>
          <w:color w:val="333333"/>
          <w:sz w:val="22"/>
          <w:szCs w:val="22"/>
        </w:rPr>
        <w:t xml:space="preserve">"The platform has already computed three actions for you, ranked by net value. Action one: activate your USD liquidity buffer at a cost of $12M, avoiding $180M in potential forced asset sales. Action two: trigger your LC portfolio hedge, $8M cost against $95M downside. Action three: issue a precautionary advisory to your corporate lending desk."</w:t>
      </w:r>
    </w:p>
    <w:p>
      <w:pPr>
        <w:spacing w:after="160" w:line="276"/>
        <w:jc w:val="left"/>
      </w:pPr>
      <w:r>
        <w:rPr>
          <w:rFonts w:ascii="Arial" w:cs="Arial" w:eastAsia="Arial" w:hAnsi="Arial"/>
          <w:color w:val="333333"/>
          <w:sz w:val="22"/>
          <w:szCs w:val="22"/>
        </w:rPr>
        <w:t xml:space="preserve">"You are not interpreting a dashboard. You are approving or rejecting a pre-computed institutional response. Every number traces back to an auditable formula. Every action has a confidence score. Your regulator can see exactly why you made the decision you made."</w:t>
      </w:r>
    </w:p>
    <w:p>
      <w:pPr>
        <w:spacing w:after="160" w:line="276"/>
        <w:jc w:val="left"/>
      </w:pPr>
      <w:r>
        <w:rPr>
          <w:rFonts w:ascii="Arial" w:cs="Arial" w:eastAsia="Arial" w:hAnsi="Arial"/>
          <w:color w:val="333333"/>
          <w:sz w:val="22"/>
          <w:szCs w:val="22"/>
        </w:rPr>
        <w:t xml:space="preserve">"This is what decision intelligence looks like. It is not faster analytics. It is the elimination of the gap between knowing and acting."</w:t>
      </w:r>
    </w:p>
    <w:p>
      <w:pPr>
        <w:pStyle w:val="Heading2"/>
        <w:spacing w:after="150" w:before="300"/>
      </w:pPr>
      <w:r>
        <w:rPr>
          <w:rFonts w:ascii="Arial" w:cs="Arial" w:eastAsia="Arial" w:hAnsi="Arial"/>
          <w:b/>
          <w:bCs/>
          <w:color w:val="00897B"/>
          <w:sz w:val="28"/>
          <w:szCs w:val="28"/>
        </w:rPr>
        <w:t xml:space="preserve">Pitch B: To a GCC Central Bank Governor</w:t>
      </w:r>
    </w:p>
    <w:p>
      <w:pPr>
        <w:shd w:fill="F5F0E8" w:val="clear"/>
        <w:spacing w:after="120"/>
        <w:ind w:left="360" w:right="360"/>
      </w:pPr>
      <w:r>
        <w:rPr>
          <w:rFonts w:ascii="Arial" w:cs="Arial" w:eastAsia="Arial" w:hAnsi="Arial"/>
          <w:i/>
          <w:iCs/>
          <w:color w:val="455A64"/>
          <w:sz w:val="22"/>
          <w:szCs w:val="22"/>
        </w:rPr>
        <w:t xml:space="preserve">Context: Private meeting, 20 minutes. Governor is concerned about systemic interconnection risk across the GCC banking sector.</w:t>
      </w:r>
    </w:p>
    <w:p>
      <w:pPr>
        <w:spacing w:after="0" w:before="60"/>
      </w:pPr>
    </w:p>
    <w:p>
      <w:pPr>
        <w:spacing w:after="160" w:line="276"/>
        <w:jc w:val="left"/>
      </w:pPr>
      <w:r>
        <w:rPr>
          <w:rFonts w:ascii="Arial" w:cs="Arial" w:eastAsia="Arial" w:hAnsi="Arial"/>
          <w:color w:val="333333"/>
          <w:sz w:val="22"/>
          <w:szCs w:val="22"/>
        </w:rPr>
        <w:t xml:space="preserve">"Governor, the stress test your team ran last quarter took six weeks and modeled three scenarios. Impact Observatory models fifteen scenarios in real time across forty-three interconnected GCC financial nodes — every major bank, insurer, port, energy terminal, and fintech settlement layer."</w:t>
      </w:r>
    </w:p>
    <w:p>
      <w:pPr>
        <w:spacing w:after="160" w:line="276"/>
        <w:jc w:val="left"/>
      </w:pPr>
      <w:r>
        <w:rPr>
          <w:rFonts w:ascii="Arial" w:cs="Arial" w:eastAsia="Arial" w:hAnsi="Arial"/>
          <w:color w:val="333333"/>
          <w:sz w:val="22"/>
          <w:szCs w:val="22"/>
        </w:rPr>
        <w:t xml:space="preserve">"The system does not just compute individual institution stress. It computes systemic propagation: when Bank A’s stress hits 0.65, what happens to Insurer B’s reinsurance chain? When the Sohar port closes, how does the liquidity stress index move for Bahraini banks that depend on Omani trade flows?"</w:t>
      </w:r>
    </w:p>
    <w:p>
      <w:pPr>
        <w:spacing w:after="160" w:line="276"/>
        <w:jc w:val="left"/>
      </w:pPr>
      <w:r>
        <w:rPr>
          <w:rFonts w:ascii="Arial" w:cs="Arial" w:eastAsia="Arial" w:hAnsi="Arial"/>
          <w:color w:val="333333"/>
          <w:sz w:val="22"/>
          <w:szCs w:val="22"/>
        </w:rPr>
        <w:t xml:space="preserve">"Every simulation is deterministic and auditable. The Unified Risk Score formula (URS = g1*Es + g2*AvgExp + g3*AvgStress + g4*PS + g5*LN) uses published weights. The propagation model follows documented physics. Your team can validate every output against their own models."</w:t>
      </w:r>
    </w:p>
    <w:p>
      <w:pPr>
        <w:spacing w:after="160" w:line="276"/>
        <w:jc w:val="left"/>
      </w:pPr>
      <w:r>
        <w:rPr>
          <w:rFonts w:ascii="Arial" w:cs="Arial" w:eastAsia="Arial" w:hAnsi="Arial"/>
          <w:color w:val="333333"/>
          <w:sz w:val="22"/>
          <w:szCs w:val="22"/>
        </w:rPr>
        <w:t xml:space="preserve">"The outcome is not a report you receive quarterly. It is a live decision terminal that your financial stability office can use daily. When the next regional event occurs, you do not wait for your team to build a model. The model already exists. The decisions are already computed. Your office decides whether to act."</w:t>
      </w:r>
    </w:p>
    <w:p>
      <w:pPr>
        <w:pStyle w:val="Heading2"/>
        <w:spacing w:after="150" w:before="300"/>
      </w:pPr>
      <w:r>
        <w:rPr>
          <w:rFonts w:ascii="Arial" w:cs="Arial" w:eastAsia="Arial" w:hAnsi="Arial"/>
          <w:b/>
          <w:bCs/>
          <w:color w:val="00897B"/>
          <w:sz w:val="28"/>
          <w:szCs w:val="28"/>
        </w:rPr>
        <w:t xml:space="preserve">Pitch C: To a GCC Government Investment Authority</w:t>
      </w:r>
    </w:p>
    <w:p>
      <w:pPr>
        <w:shd w:fill="EDF5ED" w:val="clear"/>
        <w:spacing w:after="120"/>
        <w:ind w:left="360" w:right="360"/>
      </w:pPr>
      <w:r>
        <w:rPr>
          <w:rFonts w:ascii="Arial" w:cs="Arial" w:eastAsia="Arial" w:hAnsi="Arial"/>
          <w:i/>
          <w:iCs/>
          <w:color w:val="455A64"/>
          <w:sz w:val="22"/>
          <w:szCs w:val="22"/>
        </w:rPr>
        <w:t xml:space="preserve">Context: Strategy presentation, 30 minutes. Investment authority manages sovereign wealth and oversees financial sector stability.</w:t>
      </w:r>
    </w:p>
    <w:p>
      <w:pPr>
        <w:spacing w:after="0" w:before="60"/>
      </w:pPr>
    </w:p>
    <w:p>
      <w:pPr>
        <w:spacing w:after="160" w:line="276"/>
        <w:jc w:val="left"/>
      </w:pPr>
      <w:r>
        <w:rPr>
          <w:rFonts w:ascii="Arial" w:cs="Arial" w:eastAsia="Arial" w:hAnsi="Arial"/>
          <w:color w:val="333333"/>
          <w:sz w:val="22"/>
          <w:szCs w:val="22"/>
        </w:rPr>
        <w:t xml:space="preserve">"Your authority manages portfolios that are concentrated in the very sectors that geopolitical shocks hit first: energy, banking, infrastructure. When a Hormuz event occurs, you are simultaneously the largest holder of affected assets and the institution responsible for financial stability. You need to make both portfolio and policy decisions, and you need to make them fast."</w:t>
      </w:r>
    </w:p>
    <w:p>
      <w:pPr>
        <w:spacing w:after="160" w:line="276"/>
        <w:jc w:val="left"/>
      </w:pPr>
      <w:r>
        <w:rPr>
          <w:rFonts w:ascii="Arial" w:cs="Arial" w:eastAsia="Arial" w:hAnsi="Arial"/>
          <w:color w:val="333333"/>
          <w:sz w:val="22"/>
          <w:szCs w:val="22"/>
        </w:rPr>
        <w:t xml:space="preserve">"Impact Observatory gives you both in one screen. The portfolio view shows your direct and indirect exposure across nine sectors, computed from a 43-node propagation model of the GCC financial network. The policy view shows you where systemic stress is concentrating and which institutions are approaching threshold levels."</w:t>
      </w:r>
    </w:p>
    <w:p>
      <w:pPr>
        <w:spacing w:after="160" w:line="276"/>
        <w:jc w:val="left"/>
      </w:pPr>
      <w:r>
        <w:rPr>
          <w:rFonts w:ascii="Arial" w:cs="Arial" w:eastAsia="Arial" w:hAnsi="Arial"/>
          <w:color w:val="333333"/>
          <w:sz w:val="22"/>
          <w:szCs w:val="22"/>
        </w:rPr>
        <w:t xml:space="preserve">"The decision actions the platform generates are not generic recommendations. They are scenario-specific, costed, and ranked. When a Red Sea trade corridor disruption hits, the system computes the optimal sequence of interventions — which liquidity facilities to activate, which insurance backstops to trigger, which communication protocols to initiate — with net value calculations for each."</w:t>
      </w:r>
    </w:p>
    <w:p>
      <w:pPr>
        <w:spacing w:after="160" w:line="276"/>
        <w:jc w:val="left"/>
      </w:pPr>
      <w:r>
        <w:rPr>
          <w:rFonts w:ascii="Arial" w:cs="Arial" w:eastAsia="Arial" w:hAnsi="Arial"/>
          <w:color w:val="333333"/>
          <w:sz w:val="22"/>
          <w:szCs w:val="22"/>
        </w:rPr>
        <w:t xml:space="preserve">"This is the infrastructure your authority needs for the next decade of GCC financial governance. Not more data. Not more dashboards. A decision machine that compresses systemic complexity into institutional action."</w:t>
      </w:r>
    </w:p>
    <w:p>
      <w:r>
        <w:br w:type="page"/>
      </w:r>
    </w:p>
    <w:p>
      <w:pPr>
        <w:pStyle w:val="Heading1"/>
        <w:spacing w:after="200" w:before="400"/>
      </w:pPr>
      <w:r>
        <w:rPr>
          <w:rFonts w:ascii="Arial" w:cs="Arial" w:eastAsia="Arial" w:hAnsi="Arial"/>
          <w:b/>
          <w:bCs/>
          <w:color w:val="0B1D3A"/>
          <w:sz w:val="36"/>
          <w:szCs w:val="36"/>
        </w:rPr>
        <w:t xml:space="preserve">7. Naming, Positioning &amp; Category</w:t>
      </w:r>
    </w:p>
    <w:p>
      <w:pPr>
        <w:pBdr>
          <w:bottom w:val="single" w:color="D4A843" w:sz="4" w:space="1"/>
        </w:pBdr>
        <w:spacing w:after="200" w:before="200"/>
      </w:pPr>
    </w:p>
    <w:p>
      <w:pPr>
        <w:pStyle w:val="Heading2"/>
        <w:spacing w:after="150" w:before="300"/>
      </w:pPr>
      <w:r>
        <w:rPr>
          <w:rFonts w:ascii="Arial" w:cs="Arial" w:eastAsia="Arial" w:hAnsi="Arial"/>
          <w:b/>
          <w:bCs/>
          <w:color w:val="00897B"/>
          <w:sz w:val="28"/>
          <w:szCs w:val="28"/>
        </w:rPr>
        <w:t xml:space="preserve">Product Name</w:t>
      </w:r>
    </w:p>
    <w:p>
      <w:pPr>
        <w:spacing w:after="160" w:line="276"/>
        <w:jc w:val="left"/>
      </w:pPr>
      <w:r>
        <w:rPr>
          <w:rFonts w:ascii="Arial" w:cs="Arial" w:eastAsia="Arial" w:hAnsi="Arial"/>
          <w:color w:val="333333"/>
          <w:sz w:val="22"/>
          <w:szCs w:val="22"/>
        </w:rPr>
        <w:t xml:space="preserve">Impact Observatory | مرصد الأثر</w:t>
      </w:r>
    </w:p>
    <w:p>
      <w:pPr>
        <w:spacing w:after="160" w:line="276"/>
        <w:jc w:val="left"/>
      </w:pPr>
      <w:r>
        <w:rPr>
          <w:rFonts w:ascii="Arial" w:cs="Arial" w:eastAsia="Arial" w:hAnsi="Arial"/>
          <w:color w:val="333333"/>
          <w:sz w:val="22"/>
          <w:szCs w:val="22"/>
        </w:rPr>
        <w:t xml:space="preserve">The name works in both languages and carries the right connotation: an observatory is a place where you watch, measure, and understand large-scale phenomena. The "impact" qualifier makes it specific: this observatory watches how shocks impact financial systems. The Arabic name (مرصد الأثر) carries institutional gravitas appropriate for GCC sovereign and financial audiences.</w:t>
      </w:r>
    </w:p>
    <w:p>
      <w:pPr>
        <w:pStyle w:val="Heading2"/>
        <w:spacing w:after="150" w:before="300"/>
      </w:pPr>
      <w:r>
        <w:rPr>
          <w:rFonts w:ascii="Arial" w:cs="Arial" w:eastAsia="Arial" w:hAnsi="Arial"/>
          <w:b/>
          <w:bCs/>
          <w:color w:val="00897B"/>
          <w:sz w:val="28"/>
          <w:szCs w:val="28"/>
        </w:rPr>
        <w:t xml:space="preserve">Sub-Brand: Decision Command Center</w:t>
      </w:r>
    </w:p>
    <w:p>
      <w:pPr>
        <w:spacing w:after="160" w:line="276"/>
        <w:jc w:val="left"/>
      </w:pPr>
      <w:r>
        <w:rPr>
          <w:rFonts w:ascii="Arial" w:cs="Arial" w:eastAsia="Arial" w:hAnsi="Arial"/>
          <w:color w:val="333333"/>
          <w:sz w:val="22"/>
          <w:szCs w:val="22"/>
        </w:rPr>
        <w:t xml:space="preserve">The primary interface — the single-screen terminal — is branded as the Decision Command Center (مركز القرار). This is not a feature name. It is the product surface that users interact with daily. The terminology deliberately echoes military and sovereign command structures, positioning the product as institutional infrastructure rather than business software.</w:t>
      </w:r>
    </w:p>
    <w:p>
      <w:pPr>
        <w:pStyle w:val="Heading2"/>
        <w:spacing w:after="150" w:before="300"/>
      </w:pPr>
      <w:r>
        <w:rPr>
          <w:rFonts w:ascii="Arial" w:cs="Arial" w:eastAsia="Arial" w:hAnsi="Arial"/>
          <w:b/>
          <w:bCs/>
          <w:color w:val="00897B"/>
          <w:sz w:val="28"/>
          <w:szCs w:val="28"/>
        </w:rPr>
        <w:t xml:space="preserve">Category Definition</w:t>
      </w:r>
    </w:p>
    <w:p>
      <w:pPr>
        <w:spacing w:after="160" w:line="276"/>
        <w:jc w:val="left"/>
      </w:pPr>
      <w:r>
        <w:rPr>
          <w:rFonts w:ascii="Arial" w:cs="Arial" w:eastAsia="Arial" w:hAnsi="Arial"/>
          <w:color w:val="333333"/>
          <w:sz w:val="22"/>
          <w:szCs w:val="22"/>
        </w:rPr>
        <w:t xml:space="preserve">Impact Observatory creates and owns the category of Decision Intelligence for Financial Systems. This is distinct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vAlign w:val="center"/>
          </w:tcPr>
          <w:p>
            <w:pPr>
              <w:spacing w:after="40"/>
            </w:pPr>
            <w:r>
              <w:rPr>
                <w:rFonts w:ascii="Arial" w:cs="Arial" w:eastAsia="Arial" w:hAnsi="Arial"/>
                <w:b/>
                <w:bCs/>
                <w:color w:val="FFFFFF"/>
                <w:sz w:val="20"/>
                <w:szCs w:val="20"/>
              </w:rPr>
              <w:t xml:space="preserve">Existing Category</w:t>
            </w:r>
          </w:p>
        </w:tc>
        <w:tc>
          <w:tcPr>
            <w:tcW w:type="dxa" w:w="312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vAlign w:val="center"/>
          </w:tcPr>
          <w:p>
            <w:pPr>
              <w:spacing w:after="40"/>
            </w:pPr>
            <w:r>
              <w:rPr>
                <w:rFonts w:ascii="Arial" w:cs="Arial" w:eastAsia="Arial" w:hAnsi="Arial"/>
                <w:b/>
                <w:bCs/>
                <w:color w:val="FFFFFF"/>
                <w:sz w:val="20"/>
                <w:szCs w:val="20"/>
              </w:rPr>
              <w:t xml:space="preserve">Why It’s Wrong for Us</w:t>
            </w:r>
          </w:p>
        </w:tc>
        <w:tc>
          <w:tcPr>
            <w:tcW w:type="dxa" w:w="3120"/>
            <w:tcBorders>
              <w:top w:val="single" w:color="E0E0E0" w:sz="1"/>
              <w:left w:val="single" w:color="E0E0E0" w:sz="1"/>
              <w:bottom w:val="single" w:color="E0E0E0" w:sz="1"/>
              <w:right w:val="single" w:color="E0E0E0" w:sz="1"/>
            </w:tcBorders>
            <w:shd w:fill="0B1D3A" w:val="clear"/>
            <w:tcMar>
              <w:top w:type="dxa" w:w="100"/>
              <w:left w:type="dxa" w:w="140"/>
              <w:bottom w:type="dxa" w:w="100"/>
              <w:right w:type="dxa" w:w="140"/>
            </w:tcMar>
            <w:vAlign w:val="center"/>
          </w:tcPr>
          <w:p>
            <w:pPr>
              <w:spacing w:after="40"/>
            </w:pPr>
            <w:r>
              <w:rPr>
                <w:rFonts w:ascii="Arial" w:cs="Arial" w:eastAsia="Arial" w:hAnsi="Arial"/>
                <w:b/>
                <w:bCs/>
                <w:color w:val="FFFFFF"/>
                <w:sz w:val="20"/>
                <w:szCs w:val="20"/>
              </w:rPr>
              <w:t xml:space="preserve">How We Differ</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Risk Management Software</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Measures risk; does not produce decisions</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We produce ranked, costed decisions</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Business Intelligence</w:t>
            </w:r>
          </w:p>
        </w:tc>
        <w:tc>
          <w:tcPr>
            <w:tcW w:type="dxa" w:w="312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Displays data; user interprets</w:t>
            </w:r>
          </w:p>
        </w:tc>
        <w:tc>
          <w:tcPr>
            <w:tcW w:type="dxa" w:w="312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We compress to decision, not display</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InsurTech / FinTech</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Optimizes one vertical; misses systemic</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We model cross-sector propagation</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Consulting / Advisory</w:t>
            </w:r>
          </w:p>
        </w:tc>
        <w:tc>
          <w:tcPr>
            <w:tcW w:type="dxa" w:w="312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Delivers reports; not real-time</w:t>
            </w:r>
          </w:p>
        </w:tc>
        <w:tc>
          <w:tcPr>
            <w:tcW w:type="dxa" w:w="312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spacing w:after="40"/>
            </w:pPr>
            <w:r>
              <w:rPr>
                <w:rFonts w:ascii="Arial" w:cs="Arial" w:eastAsia="Arial" w:hAnsi="Arial"/>
                <w:color w:val="333333"/>
                <w:sz w:val="20"/>
                <w:szCs w:val="20"/>
              </w:rPr>
              <w:t xml:space="preserve">We deliver always-on decision terminal</w:t>
            </w:r>
          </w:p>
        </w:tc>
      </w:tr>
    </w:tbl>
    <w:p>
      <w:pPr>
        <w:pStyle w:val="Heading2"/>
        <w:spacing w:after="150" w:before="300"/>
      </w:pPr>
      <w:r>
        <w:rPr>
          <w:rFonts w:ascii="Arial" w:cs="Arial" w:eastAsia="Arial" w:hAnsi="Arial"/>
          <w:b/>
          <w:bCs/>
          <w:color w:val="00897B"/>
          <w:sz w:val="28"/>
          <w:szCs w:val="28"/>
        </w:rPr>
        <w:t xml:space="preserve">Positioning Statement</w:t>
      </w:r>
    </w:p>
    <w:p>
      <w:pPr>
        <w:pBdr>
          <w:left w:val="single" w:color="D4A843" w:sz="12" w:space="8"/>
        </w:pBdr>
        <w:shd w:fill="FAFAF5" w:val="clear"/>
        <w:spacing w:after="200" w:before="200"/>
        <w:ind w:left="720" w:right="720"/>
      </w:pPr>
      <w:r>
        <w:rPr>
          <w:rFonts w:ascii="Arial" w:cs="Arial" w:eastAsia="Arial" w:hAnsi="Arial"/>
          <w:i/>
          <w:iCs/>
          <w:color w:val="0B1D3A"/>
          <w:sz w:val="22"/>
          <w:szCs w:val="22"/>
        </w:rPr>
        <w:t xml:space="preserve">For GCC financial institutions and sovereign authorities who need to make systemic risk decisions in real time, Impact Observatory is the decision intelligence platform that transforms geopolitical shocks into ranked, costed, auditable institutional actions. Unlike risk dashboards and consulting engagements, Impact Observatory delivers decisions, not data — compressing the chain from event to action into a single-screen terminal backed by a deterministic 17-stage simulation engine.</w:t>
      </w:r>
    </w:p>
    <w:p>
      <w:pPr>
        <w:pStyle w:val="Heading2"/>
        <w:spacing w:after="150" w:before="300"/>
      </w:pPr>
      <w:r>
        <w:rPr>
          <w:rFonts w:ascii="Arial" w:cs="Arial" w:eastAsia="Arial" w:hAnsi="Arial"/>
          <w:b/>
          <w:bCs/>
          <w:color w:val="00897B"/>
          <w:sz w:val="28"/>
          <w:szCs w:val="28"/>
        </w:rPr>
        <w:t xml:space="preserve">Tagline Options</w:t>
      </w:r>
    </w:p>
    <w:p>
      <w:pPr>
        <w:spacing w:after="160" w:line="276"/>
        <w:jc w:val="left"/>
      </w:pPr>
      <w:r>
        <w:rPr>
          <w:rFonts w:ascii="Arial" w:cs="Arial" w:eastAsia="Arial" w:hAnsi="Arial"/>
          <w:color w:val="333333"/>
          <w:sz w:val="22"/>
          <w:szCs w:val="22"/>
        </w:rPr>
        <w:t xml:space="preserve">Primary: "From Signal to Decision in Five Seconds."</w:t>
      </w:r>
    </w:p>
    <w:p>
      <w:pPr>
        <w:spacing w:after="160" w:line="276"/>
        <w:jc w:val="left"/>
      </w:pPr>
      <w:r>
        <w:rPr>
          <w:rFonts w:ascii="Arial" w:cs="Arial" w:eastAsia="Arial" w:hAnsi="Arial"/>
          <w:color w:val="333333"/>
          <w:sz w:val="22"/>
          <w:szCs w:val="22"/>
        </w:rPr>
        <w:t xml:space="preserve">Alternative: "Decision Intelligence for Sovereign-Scale Finance."</w:t>
      </w:r>
    </w:p>
    <w:p>
      <w:pPr>
        <w:spacing w:after="160" w:line="276"/>
        <w:jc w:val="left"/>
      </w:pPr>
      <w:r>
        <w:rPr>
          <w:rFonts w:ascii="Arial" w:cs="Arial" w:eastAsia="Arial" w:hAnsi="Arial"/>
          <w:color w:val="333333"/>
          <w:sz w:val="22"/>
          <w:szCs w:val="22"/>
        </w:rPr>
        <w:t xml:space="preserve">Technical: "17 Stages. 43 Nodes. One Decision."</w:t>
      </w:r>
    </w:p>
    <w:p>
      <w:pPr>
        <w:spacing w:after="160" w:line="276"/>
        <w:jc w:val="left"/>
      </w:pPr>
      <w:r>
        <w:rPr>
          <w:rFonts w:ascii="Arial" w:cs="Arial" w:eastAsia="Arial" w:hAnsi="Arial"/>
          <w:color w:val="333333"/>
          <w:sz w:val="22"/>
          <w:szCs w:val="22"/>
        </w:rPr>
        <w:t xml:space="preserve">Arabic: "من الإشارة إلى القرار في خمس ثوان."</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Deevo Analytics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Impact Observatory  |  Product Narrative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B1D3A"/>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00897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2026-04-10T20:19:09.990Z</dcterms:created>
  <dcterms:modified xsi:type="dcterms:W3CDTF">2026-04-10T20:19:09.991Z</dcterms:modified>
</cp:coreProperties>
</file>

<file path=docProps/custom.xml><?xml version="1.0" encoding="utf-8"?>
<Properties xmlns="http://schemas.openxmlformats.org/officeDocument/2006/custom-properties" xmlns:vt="http://schemas.openxmlformats.org/officeDocument/2006/docPropsVTypes"/>
</file>