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60"/>
        <w:jc w:val="center"/>
      </w:pPr>
      <w:r>
        <w:rPr>
          <w:rFonts w:ascii="Arial" w:cs="Arial" w:eastAsia="Arial" w:hAnsi="Arial"/>
          <w:b/>
          <w:bCs/>
          <w:color w:val="0B1D3A"/>
          <w:sz w:val="56"/>
          <w:szCs w:val="56"/>
        </w:rPr>
        <w:t xml:space="preserve">IMPACT OBSERVATORY</w:t>
      </w:r>
    </w:p>
    <w:p>
      <w:pPr>
        <w:spacing w:after="80"/>
        <w:jc w:val="center"/>
      </w:pPr>
      <w:r>
        <w:rPr>
          <w:rFonts w:ascii="Arial" w:cs="Arial" w:eastAsia="Arial" w:hAnsi="Arial"/>
          <w:color w:val="00897B"/>
          <w:sz w:val="40"/>
          <w:szCs w:val="40"/>
        </w:rPr>
        <w:t xml:space="preserve">مرصد الأثر</w:t>
      </w:r>
    </w:p>
    <w:p>
      <w:pPr>
        <w:spacing w:before="200"/>
      </w:pPr>
    </w:p>
    <w:p>
      <w:pPr>
        <w:pBdr>
          <w:bottom w:val="single" w:color="D4A843" w:sz="6" w:space="8"/>
        </w:pBdr>
        <w:spacing w:after="40"/>
        <w:jc w:val="center"/>
      </w:pPr>
      <w:r>
        <w:rPr>
          <w:rFonts w:ascii="Arial" w:cs="Arial" w:eastAsia="Arial" w:hAnsi="Arial"/>
          <w:b/>
          <w:bCs/>
          <w:color w:val="C62828"/>
          <w:sz w:val="34"/>
          <w:szCs w:val="34"/>
        </w:rPr>
        <w:t xml:space="preserve">Product Prioritization &amp; Execution Plan</w:t>
      </w:r>
    </w:p>
    <w:p>
      <w:pPr>
        <w:spacing w:before="200"/>
      </w:pPr>
    </w:p>
    <w:p>
      <w:pPr>
        <w:spacing w:after="60"/>
        <w:jc w:val="center"/>
      </w:pPr>
      <w:r>
        <w:rPr>
          <w:rFonts w:ascii="Arial" w:cs="Arial" w:eastAsia="Arial" w:hAnsi="Arial"/>
          <w:i/>
          <w:iCs/>
          <w:color w:val="455A64"/>
          <w:sz w:val="26"/>
          <w:szCs w:val="26"/>
        </w:rPr>
        <w:t xml:space="preserve">Hard Decisions. One Wedge. One Buyer. One Use Case.</w:t>
      </w:r>
    </w:p>
    <w:p>
      <w:pPr>
        <w:spacing w:after="60"/>
        <w:jc w:val="center"/>
      </w:pPr>
      <w:r>
        <w:rPr>
          <w:rFonts w:ascii="Arial" w:cs="Arial" w:eastAsia="Arial" w:hAnsi="Arial"/>
          <w:b/>
          <w:bCs/>
          <w:color w:val="C62828"/>
          <w:sz w:val="22"/>
          <w:szCs w:val="22"/>
        </w:rPr>
        <w:t xml:space="preserve">No hedging. No "it depends."</w:t>
      </w:r>
    </w:p>
    <w:p>
      <w:pPr>
        <w:spacing w:before="800"/>
      </w:pPr>
    </w:p>
    <w:p>
      <w:pPr>
        <w:jc w:val="center"/>
      </w:pPr>
      <w:r>
        <w:rPr>
          <w:rFonts w:ascii="Arial" w:cs="Arial" w:eastAsia="Arial" w:hAnsi="Arial"/>
          <w:color w:val="999999"/>
          <w:sz w:val="18"/>
          <w:szCs w:val="18"/>
        </w:rPr>
        <w:t xml:space="preserve">CONFIDENTIAL  |  April 2026  |  Deevo Analytics  |  CPO Strategy Document</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0B1D3A"/>
          <w:sz w:val="36"/>
          <w:szCs w:val="36"/>
        </w:rPr>
        <w:t xml:space="preserve">1. Product Wedge — The Hard Choice</w:t>
      </w:r>
    </w:p>
    <w:p>
      <w:pPr>
        <w:pBdr>
          <w:bottom w:val="single" w:color="D4A843" w:sz="4" w:space="1"/>
        </w:pBdr>
        <w:spacing w:after="200" w:before="200"/>
      </w:pPr>
    </w:p>
    <w:p>
      <w:pPr>
        <w:pStyle w:val="Heading2"/>
        <w:spacing w:after="150" w:before="300"/>
      </w:pPr>
      <w:r>
        <w:rPr>
          <w:rFonts w:ascii="Arial" w:cs="Arial" w:eastAsia="Arial" w:hAnsi="Arial"/>
          <w:b/>
          <w:bCs/>
          <w:color w:val="00897B"/>
          <w:sz w:val="28"/>
          <w:szCs w:val="28"/>
        </w:rPr>
        <w:t xml:space="preserve">The Three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A: Decision Room</w:t>
            </w:r>
          </w:p>
        </w:tc>
        <w:tc>
          <w:tcPr>
            <w:tcW w:type="dxa" w:w="312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B: Impact Map</w:t>
            </w:r>
          </w:p>
        </w:tc>
        <w:tc>
          <w:tcPr>
            <w:tcW w:type="dxa" w:w="312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C: Banking Intelligence</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Crisis decision terminal for executives</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Propagation visualization for analysts</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Entity-level stress for bank risk teams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Buyer: C-suite, pays for speed</w:t>
            </w:r>
          </w:p>
        </w:tc>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Buyer: Risk analysts, pays for depth</w:t>
            </w:r>
          </w:p>
        </w:tc>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Buyer: Bank CRO, pays for compliance</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2E7D32"/>
                <w:sz w:val="20"/>
                <w:szCs w:val="20"/>
              </w:rPr>
              <w:t xml:space="preserve">READY: 85% deployed</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color w:val="E65100"/>
                <w:sz w:val="20"/>
                <w:szCs w:val="20"/>
              </w:rPr>
              <w:t xml:space="preserve">READY: 60% — needs geo UI</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color w:val="E65100"/>
                <w:sz w:val="20"/>
                <w:szCs w:val="20"/>
              </w:rPr>
              <w:t xml:space="preserve">READY: 70% — needs entity depth</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Revenue model: Enterprise SaaS $200K+/yr</w:t>
            </w:r>
          </w:p>
        </w:tc>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Revenue model: Seat-based $50K/yr</w:t>
            </w:r>
          </w:p>
        </w:tc>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Revenue model: Per-bank $80K/yr</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2E7D32"/>
                <w:sz w:val="20"/>
                <w:szCs w:val="20"/>
              </w:rPr>
              <w:t xml:space="preserve">Moat: Decision logic + provenance</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Moat: Propagation physics</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Moat: GCC entity data</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2E7D32"/>
                <w:sz w:val="20"/>
                <w:szCs w:val="20"/>
              </w:rPr>
              <w:t xml:space="preserve">Time to first sale: 6–8 weeks</w:t>
            </w:r>
          </w:p>
        </w:tc>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Time to first sale: 12–16 weeks</w:t>
            </w:r>
          </w:p>
        </w:tc>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Time to first sale: 10–14 weeks</w:t>
            </w:r>
          </w:p>
        </w:tc>
      </w:tr>
    </w:tbl>
    <w:p>
      <w:pPr>
        <w:spacing w:before="200"/>
      </w:pPr>
    </w:p>
    <w:p>
      <w:pPr>
        <w:shd w:fill="FFF8E1" w:val="clear"/>
        <w:spacing w:after="200" w:before="200"/>
        <w:ind w:left="360" w:right="360"/>
      </w:pPr>
      <w:r>
        <w:rPr>
          <w:rFonts w:ascii="Arial" w:cs="Arial" w:eastAsia="Arial" w:hAnsi="Arial"/>
          <w:b/>
          <w:bCs/>
          <w:color w:val="C62828"/>
          <w:sz w:val="24"/>
          <w:szCs w:val="24"/>
        </w:rPr>
        <w:t xml:space="preserve">VERDICT: </w:t>
      </w:r>
      <w:r>
        <w:rPr>
          <w:rFonts w:ascii="Arial" w:cs="Arial" w:eastAsia="Arial" w:hAnsi="Arial"/>
          <w:b/>
          <w:bCs/>
          <w:color w:val="0B1D3A"/>
          <w:sz w:val="24"/>
          <w:szCs w:val="24"/>
        </w:rPr>
        <w:t xml:space="preserve">Option A — Decision Room for Crisis Decision-Making.</w:t>
      </w:r>
    </w:p>
    <w:p>
      <w:pPr>
        <w:spacing w:before="100"/>
      </w:pPr>
    </w:p>
    <w:p>
      <w:pPr>
        <w:pStyle w:val="Heading2"/>
        <w:spacing w:after="150" w:before="300"/>
      </w:pPr>
      <w:r>
        <w:rPr>
          <w:rFonts w:ascii="Arial" w:cs="Arial" w:eastAsia="Arial" w:hAnsi="Arial"/>
          <w:b/>
          <w:bCs/>
          <w:color w:val="00897B"/>
          <w:sz w:val="28"/>
          <w:szCs w:val="28"/>
        </w:rPr>
        <w:t xml:space="preserve">Why A. Why Not B or C.</w:t>
      </w:r>
    </w:p>
    <w:p>
      <w:pPr>
        <w:spacing w:after="160" w:line="276"/>
        <w:jc w:val="left"/>
      </w:pPr>
      <w:r>
        <w:rPr>
          <w:rFonts w:ascii="Arial" w:cs="Arial" w:eastAsia="Arial" w:hAnsi="Arial"/>
          <w:color w:val="333333"/>
          <w:sz w:val="22"/>
          <w:szCs w:val="22"/>
        </w:rPr>
        <w:t xml:space="preserve">Decision Room wins on three axes that matter for a first product: readiness, buyer urgency, and revenue ceiling.</w:t>
      </w:r>
    </w:p>
    <w:p>
      <w:pPr>
        <w:spacing w:after="160" w:line="276"/>
        <w:jc w:val="left"/>
      </w:pPr>
      <w:r>
        <w:rPr>
          <w:rFonts w:ascii="Arial" w:cs="Arial" w:eastAsia="Arial" w:hAnsi="Arial"/>
          <w:color w:val="333333"/>
          <w:sz w:val="22"/>
          <w:szCs w:val="22"/>
        </w:rPr>
        <w:t xml:space="preserve">Readiness: DecisionRoomV2 is deployed, live, and functional at deevo-sim.vercel.app. The 17-stage simulation engine produces full results for 20/20 scenarios at all severity levels. The progressive disclosure UI (Executive Snapshot → Decision Cards → Propagation Chain) is wired end-to-end. The provenance layer traces every metric back to formula weights. This is not 85% of a prototype — it is 85% of a shippable product.</w:t>
      </w:r>
    </w:p>
    <w:p>
      <w:pPr>
        <w:spacing w:after="160" w:line="276"/>
        <w:jc w:val="left"/>
      </w:pPr>
      <w:r>
        <w:rPr>
          <w:rFonts w:ascii="Arial" w:cs="Arial" w:eastAsia="Arial" w:hAnsi="Arial"/>
          <w:color w:val="333333"/>
          <w:sz w:val="22"/>
          <w:szCs w:val="22"/>
        </w:rPr>
        <w:t xml:space="preserve">Buyer urgency: A CEO facing a Hormuz headline does not want a propagation map. They want three actions ranked by net value with confidence scores. The Decision Room delivers exactly that. The buyer’s pain is acute ("what do I do right now?") not chronic ("help me understand the network"). Acute pain closes deals faster.</w:t>
      </w:r>
    </w:p>
    <w:p>
      <w:pPr>
        <w:spacing w:after="160" w:line="276"/>
        <w:jc w:val="left"/>
      </w:pPr>
      <w:r>
        <w:rPr>
          <w:rFonts w:ascii="Arial" w:cs="Arial" w:eastAsia="Arial" w:hAnsi="Arial"/>
          <w:color w:val="333333"/>
          <w:sz w:val="22"/>
          <w:szCs w:val="22"/>
        </w:rPr>
        <w:t xml:space="preserve">Revenue ceiling: Enterprise decision tools command $200K–$500K annual contracts. Propagation visualizations and banking analytics are commoditizing toward lower price points. The Decision Room’s value proposition — compressing 72 hours of institutional decision latency into 5 minutes — justifies premium pricing because the cost of NOT having it is measurable in hundreds of millions of potential exposure.</w:t>
      </w:r>
    </w:p>
    <w:p>
      <w:pPr>
        <w:pStyle w:val="Heading2"/>
        <w:spacing w:after="150" w:before="300"/>
      </w:pPr>
      <w:r>
        <w:rPr>
          <w:rFonts w:ascii="Arial" w:cs="Arial" w:eastAsia="Arial" w:hAnsi="Arial"/>
          <w:b/>
          <w:bCs/>
          <w:color w:val="00897B"/>
          <w:sz w:val="28"/>
          <w:szCs w:val="28"/>
        </w:rPr>
        <w:t xml:space="preserve">What the Decision Room IS (Exact Definition)</w:t>
      </w:r>
    </w:p>
    <w:p>
      <w:pPr>
        <w:pBdr>
          <w:left w:val="single" w:color="0B1D3A" w:sz="14" w:space="10"/>
        </w:pBdr>
        <w:spacing w:after="200" w:before="160"/>
        <w:ind w:left="500"/>
      </w:pPr>
      <w:r>
        <w:rPr>
          <w:rFonts w:ascii="Arial" w:cs="Arial" w:eastAsia="Arial" w:hAnsi="Arial"/>
          <w:b/>
          <w:bCs/>
          <w:i/>
          <w:iCs/>
          <w:color w:val="0B1D3A"/>
          <w:sz w:val="26"/>
          <w:szCs w:val="26"/>
        </w:rPr>
        <w:t xml:space="preserve">A single-screen terminal where a GCC financial institution CEO or CRO opens one URL, sees the systemic impact of a geopolitical event, and approves or rejects pre-computed institutional actions — all within 5 minutes.</w:t>
      </w:r>
    </w:p>
    <w:p>
      <w:pPr>
        <w:spacing w:after="100" w:before="200"/>
      </w:pPr>
      <w:r>
        <w:rPr>
          <w:rFonts w:ascii="Arial" w:cs="Arial" w:eastAsia="Arial" w:hAnsi="Arial"/>
          <w:b/>
          <w:bCs/>
          <w:color w:val="455A64"/>
          <w:sz w:val="24"/>
          <w:szCs w:val="24"/>
        </w:rPr>
        <w:t xml:space="preserve">What problem it solves</w:t>
      </w:r>
    </w:p>
    <w:p>
      <w:pPr>
        <w:spacing w:after="160" w:line="276"/>
        <w:jc w:val="left"/>
      </w:pPr>
      <w:r>
        <w:rPr>
          <w:rFonts w:ascii="Arial" w:cs="Arial" w:eastAsia="Arial" w:hAnsi="Arial"/>
          <w:color w:val="333333"/>
          <w:sz w:val="22"/>
          <w:szCs w:val="22"/>
        </w:rPr>
        <w:t xml:space="preserve">GCC institutional leaders currently have a 48–72 hour gap between a geopolitical event occurring and having a quantified, actionable institutional response. During this gap, they rely on verbal briefings, consultant calls, and manual spreadsheet analysis. The Decision Room eliminates this gap by pre-computing the decision and presenting it at the moment the event occurs.</w:t>
      </w:r>
    </w:p>
    <w:p>
      <w:pPr>
        <w:spacing w:after="100" w:before="200"/>
      </w:pPr>
      <w:r>
        <w:rPr>
          <w:rFonts w:ascii="Arial" w:cs="Arial" w:eastAsia="Arial" w:hAnsi="Arial"/>
          <w:b/>
          <w:bCs/>
          <w:color w:val="455A64"/>
          <w:sz w:val="24"/>
          <w:szCs w:val="24"/>
        </w:rPr>
        <w:t xml:space="preserve">Who pays for it</w:t>
      </w:r>
    </w:p>
    <w:p>
      <w:pPr>
        <w:spacing w:after="160" w:line="276"/>
        <w:jc w:val="left"/>
      </w:pPr>
      <w:r>
        <w:rPr>
          <w:rFonts w:ascii="Arial" w:cs="Arial" w:eastAsia="Arial" w:hAnsi="Arial"/>
          <w:color w:val="333333"/>
          <w:sz w:val="22"/>
          <w:szCs w:val="22"/>
        </w:rPr>
        <w:t xml:space="preserve">The institution pays. Not the individual. This is an enterprise software purchase approved by the board or risk committee, funded from the technology/risk budget, and justified by the CFO using loss-avoidance metrics that the product itself generates.</w:t>
      </w:r>
    </w:p>
    <w:p>
      <w:r>
        <w:br w:type="page"/>
      </w:r>
    </w:p>
    <w:p>
      <w:pPr>
        <w:pStyle w:val="Heading1"/>
        <w:spacing w:after="200" w:before="400"/>
      </w:pPr>
      <w:r>
        <w:rPr>
          <w:rFonts w:ascii="Arial" w:cs="Arial" w:eastAsia="Arial" w:hAnsi="Arial"/>
          <w:b/>
          <w:bCs/>
          <w:color w:val="0B1D3A"/>
          <w:sz w:val="36"/>
          <w:szCs w:val="36"/>
        </w:rPr>
        <w:t xml:space="preserve">2. Primary Buyer — The One Person</w:t>
      </w:r>
    </w:p>
    <w:p>
      <w:pPr>
        <w:pBdr>
          <w:bottom w:val="single" w:color="D4A843" w:sz="4" w:space="1"/>
        </w:pBdr>
        <w:spacing w:after="200" w:before="200"/>
      </w:pPr>
    </w:p>
    <w:p>
      <w:pPr>
        <w:shd w:fill="FFF8E1" w:val="clear"/>
        <w:spacing w:after="200" w:before="200"/>
        <w:ind w:left="360" w:right="360"/>
      </w:pPr>
      <w:r>
        <w:rPr>
          <w:rFonts w:ascii="Arial" w:cs="Arial" w:eastAsia="Arial" w:hAnsi="Arial"/>
          <w:b/>
          <w:bCs/>
          <w:color w:val="C62828"/>
          <w:sz w:val="24"/>
          <w:szCs w:val="24"/>
        </w:rPr>
        <w:t xml:space="preserve">VERDICT: </w:t>
      </w:r>
      <w:r>
        <w:rPr>
          <w:rFonts w:ascii="Arial" w:cs="Arial" w:eastAsia="Arial" w:hAnsi="Arial"/>
          <w:b/>
          <w:bCs/>
          <w:color w:val="0B1D3A"/>
          <w:sz w:val="24"/>
          <w:szCs w:val="24"/>
        </w:rPr>
        <w:t xml:space="preserve">GCC Bank CRO (Chief Risk Officer).</w:t>
      </w:r>
    </w:p>
    <w:p>
      <w:pPr>
        <w:spacing w:before="80"/>
      </w:pPr>
    </w:p>
    <w:p>
      <w:pPr>
        <w:pStyle w:val="Heading2"/>
        <w:spacing w:after="150" w:before="300"/>
      </w:pPr>
      <w:r>
        <w:rPr>
          <w:rFonts w:ascii="Arial" w:cs="Arial" w:eastAsia="Arial" w:hAnsi="Arial"/>
          <w:b/>
          <w:bCs/>
          <w:color w:val="00897B"/>
          <w:sz w:val="28"/>
          <w:szCs w:val="28"/>
        </w:rPr>
        <w:t xml:space="preserve">Why CRO, Not CEO or Regulator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Criterion</w:t>
            </w:r>
          </w:p>
        </w:tc>
        <w:tc>
          <w:tcPr>
            <w:tcW w:type="dxa" w:w="234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Bank CEO</w:t>
            </w:r>
          </w:p>
        </w:tc>
        <w:tc>
          <w:tcPr>
            <w:tcW w:type="dxa" w:w="234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Bank CRO</w:t>
            </w:r>
          </w:p>
        </w:tc>
        <w:tc>
          <w:tcPr>
            <w:tcW w:type="dxa" w:w="234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Central Bank</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Decision authority</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Delegates to CRO</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2E7D32"/>
                <w:sz w:val="20"/>
                <w:szCs w:val="20"/>
              </w:rPr>
              <w:t xml:space="preserve">OWNS the risk decision</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Policy, not operations</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Budget control</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Approves, doesn’t initiate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2E7D32"/>
                <w:sz w:val="20"/>
                <w:szCs w:val="20"/>
              </w:rPr>
              <w:t xml:space="preserve">Initiates risk tech spend</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Long procurement cycles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Daily use</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5-second check, moves on</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2E7D32"/>
                <w:sz w:val="20"/>
                <w:szCs w:val="20"/>
              </w:rPr>
              <w:t xml:space="preserve">30-min daily review</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Quarterly stress tests</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Pain frequency</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Event-triggered only</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2E7D32"/>
                <w:sz w:val="20"/>
                <w:szCs w:val="20"/>
              </w:rPr>
              <w:t xml:space="preserve">Continuous risk monitoring</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Regulatory cycle-driven</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Sales cycle</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6–12 months</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2E7D32"/>
                <w:sz w:val="20"/>
                <w:szCs w:val="20"/>
              </w:rPr>
              <w:t xml:space="preserve">3–6 months</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12–24 months</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Champion potential</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Too senior to champion</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2E7D32"/>
                <w:sz w:val="20"/>
                <w:szCs w:val="20"/>
              </w:rPr>
              <w:t xml:space="preserve">Champions to board</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Bureaucratic layers</w:t>
            </w:r>
          </w:p>
        </w:tc>
      </w:tr>
    </w:tbl>
    <w:p>
      <w:pPr>
        <w:spacing w:before="160"/>
      </w:pPr>
    </w:p>
    <w:p>
      <w:pPr>
        <w:pStyle w:val="Heading2"/>
        <w:spacing w:after="150" w:before="300"/>
      </w:pPr>
      <w:r>
        <w:rPr>
          <w:rFonts w:ascii="Arial" w:cs="Arial" w:eastAsia="Arial" w:hAnsi="Arial"/>
          <w:b/>
          <w:bCs/>
          <w:color w:val="00897B"/>
          <w:sz w:val="28"/>
          <w:szCs w:val="28"/>
        </w:rPr>
        <w:t xml:space="preserve">CRO Buyer Profile</w:t>
      </w:r>
    </w:p>
    <w:p>
      <w:pPr>
        <w:spacing w:after="100" w:before="200"/>
      </w:pPr>
      <w:r>
        <w:rPr>
          <w:rFonts w:ascii="Arial" w:cs="Arial" w:eastAsia="Arial" w:hAnsi="Arial"/>
          <w:b/>
          <w:bCs/>
          <w:color w:val="455A64"/>
          <w:sz w:val="24"/>
          <w:szCs w:val="24"/>
        </w:rPr>
        <w:t xml:space="preserve">What they care about</w:t>
      </w:r>
    </w:p>
    <w:p>
      <w:pPr>
        <w:spacing w:after="160" w:line="276"/>
        <w:jc w:val="left"/>
      </w:pPr>
      <w:r>
        <w:rPr>
          <w:rFonts w:ascii="Arial" w:cs="Arial" w:eastAsia="Arial" w:hAnsi="Arial"/>
          <w:color w:val="333333"/>
          <w:sz w:val="22"/>
          <w:szCs w:val="22"/>
        </w:rPr>
        <w:t xml:space="preserve">Quantified exposure. Not narrative, not visualization, not exploration — a number they can defend to the board. "Our Hormuz exposure is $340M with 87% confidence, concentrated in trade finance and LC portfolios." They need to say this sentence in a board meeting and have the provenance to back it up if challenged.</w:t>
      </w:r>
    </w:p>
    <w:p>
      <w:pPr>
        <w:spacing w:after="100" w:before="200"/>
      </w:pPr>
      <w:r>
        <w:rPr>
          <w:rFonts w:ascii="Arial" w:cs="Arial" w:eastAsia="Arial" w:hAnsi="Arial"/>
          <w:b/>
          <w:bCs/>
          <w:color w:val="455A64"/>
          <w:sz w:val="24"/>
          <w:szCs w:val="24"/>
        </w:rPr>
        <w:t xml:space="preserve">What decision they need to make</w:t>
      </w:r>
    </w:p>
    <w:p>
      <w:pPr>
        <w:spacing w:after="160" w:line="276"/>
        <w:jc w:val="left"/>
      </w:pPr>
      <w:r>
        <w:rPr>
          <w:rFonts w:ascii="Arial" w:cs="Arial" w:eastAsia="Arial" w:hAnsi="Arial"/>
          <w:color w:val="333333"/>
          <w:sz w:val="22"/>
          <w:szCs w:val="22"/>
        </w:rPr>
        <w:t xml:space="preserve">Whether to activate a risk mitigation action and which one. Specifically: "Do we activate the emergency liquidity facility ($12M cost, avoids $180M forced liquidation) or do we trigger the LC portfolio hedge ($8M cost, covers $95M downside)?" This is a binary or ranked-choice decision, not an analytical exploration.</w:t>
      </w:r>
    </w:p>
    <w:p>
      <w:pPr>
        <w:spacing w:after="100" w:before="200"/>
      </w:pPr>
      <w:r>
        <w:rPr>
          <w:rFonts w:ascii="Arial" w:cs="Arial" w:eastAsia="Arial" w:hAnsi="Arial"/>
          <w:b/>
          <w:bCs/>
          <w:color w:val="455A64"/>
          <w:sz w:val="24"/>
          <w:szCs w:val="24"/>
        </w:rPr>
        <w:t xml:space="preserve">What triggers them to buy</w:t>
      </w:r>
    </w:p>
    <w:p>
      <w:pPr>
        <w:spacing w:after="160" w:line="276"/>
        <w:jc w:val="left"/>
      </w:pPr>
      <w:r>
        <w:rPr>
          <w:rFonts w:ascii="Arial" w:cs="Arial" w:eastAsia="Arial" w:hAnsi="Arial"/>
          <w:color w:val="333333"/>
          <w:sz w:val="22"/>
          <w:szCs w:val="22"/>
        </w:rPr>
        <w:t xml:space="preserve">A near-miss event. A Hormuz tension spike that did not materialize but exposed the 72-hour decision gap. A board question they could not answer in real time. A regulatory stress test that took 6 weeks when it should have taken 6 minutes. The trigger is always the same: they were caught without a quantified answer when a quantified answer was needed.</w:t>
      </w:r>
    </w:p>
    <w:p>
      <w:pPr>
        <w:pStyle w:val="Heading2"/>
        <w:spacing w:after="150" w:before="300"/>
      </w:pPr>
      <w:r>
        <w:rPr>
          <w:rFonts w:ascii="Arial" w:cs="Arial" w:eastAsia="Arial" w:hAnsi="Arial"/>
          <w:b/>
          <w:bCs/>
          <w:color w:val="00897B"/>
          <w:sz w:val="28"/>
          <w:szCs w:val="28"/>
        </w:rPr>
        <w:t xml:space="preserve">The CEO Is the Economic Buyer, Not the User</w:t>
      </w:r>
    </w:p>
    <w:p>
      <w:pPr>
        <w:spacing w:after="160" w:line="276"/>
        <w:jc w:val="left"/>
      </w:pPr>
      <w:r>
        <w:rPr>
          <w:rFonts w:ascii="Arial" w:cs="Arial" w:eastAsia="Arial" w:hAnsi="Arial"/>
          <w:color w:val="333333"/>
          <w:sz w:val="22"/>
          <w:szCs w:val="22"/>
        </w:rPr>
        <w:t xml:space="preserve">The CEO signs the check. The CRO uses the product daily. The CRO champions the purchase internally by showing the CEO the Executive Snapshot — the 5-second Level 1 view that was designed precisely for this moment. The CRO sells internally using the product itself as the demo.</w:t>
      </w:r>
    </w:p>
    <w:p>
      <w:r>
        <w:br w:type="page"/>
      </w:r>
    </w:p>
    <w:p>
      <w:pPr>
        <w:pStyle w:val="Heading1"/>
        <w:spacing w:after="200" w:before="400"/>
      </w:pPr>
      <w:r>
        <w:rPr>
          <w:rFonts w:ascii="Arial" w:cs="Arial" w:eastAsia="Arial" w:hAnsi="Arial"/>
          <w:b/>
          <w:bCs/>
          <w:color w:val="0B1D3A"/>
          <w:sz w:val="36"/>
          <w:szCs w:val="36"/>
        </w:rPr>
        <w:t xml:space="preserve">3. Core Use Case — One Scenario, End to End</w:t>
      </w:r>
    </w:p>
    <w:p>
      <w:pPr>
        <w:pBdr>
          <w:bottom w:val="single" w:color="D4A843" w:sz="4" w:space="1"/>
        </w:pBdr>
        <w:spacing w:after="200" w:before="200"/>
      </w:pPr>
    </w:p>
    <w:p>
      <w:pPr>
        <w:pBdr>
          <w:left w:val="single" w:color="C62828" w:sz="14" w:space="10"/>
        </w:pBdr>
        <w:spacing w:after="200" w:before="160"/>
        <w:ind w:left="500"/>
      </w:pPr>
      <w:r>
        <w:rPr>
          <w:rFonts w:ascii="Arial" w:cs="Arial" w:eastAsia="Arial" w:hAnsi="Arial"/>
          <w:b/>
          <w:bCs/>
          <w:i/>
          <w:iCs/>
          <w:color w:val="C62828"/>
          <w:sz w:val="26"/>
          <w:szCs w:val="26"/>
        </w:rPr>
        <w:t xml:space="preserve">Hormuz Partial Blockage → CRO Decision in 15 Minutes</w:t>
      </w:r>
    </w:p>
    <w:p>
      <w:pPr>
        <w:pStyle w:val="Heading2"/>
        <w:spacing w:after="150" w:before="300"/>
      </w:pPr>
      <w:r>
        <w:rPr>
          <w:rFonts w:ascii="Arial" w:cs="Arial" w:eastAsia="Arial" w:hAnsi="Arial"/>
          <w:b/>
          <w:bCs/>
          <w:color w:val="00897B"/>
          <w:sz w:val="28"/>
          <w:szCs w:val="28"/>
        </w:rPr>
        <w:t xml:space="preserve">Trigger</w:t>
      </w:r>
    </w:p>
    <w:p>
      <w:pPr>
        <w:spacing w:after="160" w:line="276"/>
        <w:jc w:val="left"/>
      </w:pPr>
      <w:r>
        <w:rPr>
          <w:rFonts w:ascii="Arial" w:cs="Arial" w:eastAsia="Arial" w:hAnsi="Arial"/>
          <w:color w:val="333333"/>
          <w:sz w:val="22"/>
          <w:szCs w:val="22"/>
        </w:rPr>
        <w:t xml:space="preserve">06:30 Gulf time. News breaks: Iranian naval exercises near the Strait of Hormuz have caused a partial shipping diversion. Oil futures spike 4%. The CRO’s phone rings.</w:t>
      </w:r>
    </w:p>
    <w:p>
      <w:pPr>
        <w:pStyle w:val="Heading2"/>
        <w:spacing w:after="150" w:before="300"/>
      </w:pPr>
      <w:r>
        <w:rPr>
          <w:rFonts w:ascii="Arial" w:cs="Arial" w:eastAsia="Arial" w:hAnsi="Arial"/>
          <w:b/>
          <w:bCs/>
          <w:color w:val="00897B"/>
          <w:sz w:val="28"/>
          <w:szCs w:val="28"/>
        </w:rPr>
        <w:t xml:space="preserve">Inputs</w:t>
      </w:r>
    </w:p>
    <w:p>
      <w:pPr>
        <w:spacing w:after="160" w:line="276"/>
        <w:jc w:val="left"/>
      </w:pPr>
      <w:r>
        <w:rPr>
          <w:rFonts w:ascii="Arial" w:cs="Arial" w:eastAsia="Arial" w:hAnsi="Arial"/>
          <w:color w:val="333333"/>
          <w:sz w:val="22"/>
          <w:szCs w:val="22"/>
        </w:rPr>
        <w:t xml:space="preserve">The CRO opens Impact Observatory. Selects scenario: "hormuz_chokepoint_disruption." Sets severity slider to 0.70 (partial blockage, not full closure). Hits run. The 17-stage simulation executes in under 2 seconds.</w:t>
      </w:r>
    </w:p>
    <w:p>
      <w:pPr>
        <w:pStyle w:val="Heading2"/>
        <w:spacing w:after="150" w:before="300"/>
      </w:pPr>
      <w:r>
        <w:rPr>
          <w:rFonts w:ascii="Arial" w:cs="Arial" w:eastAsia="Arial" w:hAnsi="Arial"/>
          <w:b/>
          <w:bCs/>
          <w:color w:val="00897B"/>
          <w:sz w:val="28"/>
          <w:szCs w:val="28"/>
        </w:rPr>
        <w:t xml:space="preserve">What the System Shows (Level by Level)</w:t>
      </w:r>
    </w:p>
    <w:p>
      <w:pPr>
        <w:spacing w:after="100" w:before="200"/>
      </w:pPr>
      <w:r>
        <w:rPr>
          <w:rFonts w:ascii="Arial" w:cs="Arial" w:eastAsia="Arial" w:hAnsi="Arial"/>
          <w:b/>
          <w:bCs/>
          <w:color w:val="455A64"/>
          <w:sz w:val="24"/>
          <w:szCs w:val="24"/>
        </w:rPr>
        <w:t xml:space="preserve">Level 1 — Executive Snapshot (5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Element</w:t>
            </w:r>
          </w:p>
        </w:tc>
        <w:tc>
          <w:tcPr>
            <w:tcW w:type="dxa" w:w="702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What It Shows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Severity Badge</w:t>
            </w:r>
          </w:p>
        </w:tc>
        <w:tc>
          <w:tcPr>
            <w:tcW w:type="dxa" w:w="70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ELEVATED (URS = 0.58)</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Propagation Line</w:t>
            </w:r>
          </w:p>
        </w:tc>
        <w:tc>
          <w:tcPr>
            <w:tcW w:type="dxa" w:w="70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"Hormuz disruption propagates through energy → maritime logistics → banking trade finance in 9 days"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Impact Card 1</w:t>
            </w:r>
          </w:p>
        </w:tc>
        <w:tc>
          <w:tcPr>
            <w:tcW w:type="dxa" w:w="70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Total Loss Range: $280M – $410M (85% confidence interval)</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Impact Card 2</w:t>
            </w:r>
          </w:p>
        </w:tc>
        <w:tc>
          <w:tcPr>
            <w:tcW w:type="dxa" w:w="70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Risk Level: ELEVATED, banking sector stress at 0.72</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Impact Card 3</w:t>
            </w:r>
          </w:p>
        </w:tc>
        <w:tc>
          <w:tcPr>
            <w:tcW w:type="dxa" w:w="70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Breach Timing: Banking stress exceeds HIGH threshold in 9 days</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Decision Summary 1</w:t>
            </w:r>
          </w:p>
        </w:tc>
        <w:tc>
          <w:tcPr>
            <w:tcW w:type="dxa" w:w="70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Activate USD liquidity buffer — Net value: +$168M</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Decision Summary 2</w:t>
            </w:r>
          </w:p>
        </w:tc>
        <w:tc>
          <w:tcPr>
            <w:tcW w:type="dxa" w:w="70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Trigger LC portfolio hedge — Net value: +$87M</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Decision Summary 3</w:t>
            </w:r>
          </w:p>
        </w:tc>
        <w:tc>
          <w:tcPr>
            <w:tcW w:type="dxa" w:w="70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Issue precautionary desk advisory — Net value: +$12M</w:t>
            </w:r>
          </w:p>
        </w:tc>
      </w:tr>
    </w:tbl>
    <w:p>
      <w:pPr>
        <w:spacing w:after="100" w:before="200"/>
      </w:pPr>
      <w:r>
        <w:rPr>
          <w:rFonts w:ascii="Arial" w:cs="Arial" w:eastAsia="Arial" w:hAnsi="Arial"/>
          <w:b/>
          <w:bCs/>
          <w:color w:val="455A64"/>
          <w:sz w:val="24"/>
          <w:szCs w:val="24"/>
        </w:rPr>
        <w:t xml:space="preserve">Level 2 — Decision Cards (30 seconds)</w:t>
      </w:r>
    </w:p>
    <w:p>
      <w:pPr>
        <w:spacing w:after="160" w:line="276"/>
        <w:jc w:val="left"/>
      </w:pPr>
      <w:r>
        <w:rPr>
          <w:rFonts w:ascii="Arial" w:cs="Arial" w:eastAsia="Arial" w:hAnsi="Arial"/>
          <w:color w:val="333333"/>
          <w:sz w:val="22"/>
          <w:szCs w:val="22"/>
        </w:rPr>
        <w:t xml:space="preserve">CRO expands depth toggle. Sees Decision Reason Cards explaining WHY the liquidity buffer is ranked #1: it addresses the highest-probability loss path (trade finance exposure), activates before the 9-day breach window, and has the best cost-to-avoided-loss ratio. The card shows escalation trigger: "Activate if banking stress exceeds 0.65 within 48 hours."</w:t>
      </w:r>
    </w:p>
    <w:p>
      <w:pPr>
        <w:spacing w:after="160" w:line="276"/>
        <w:jc w:val="left"/>
      </w:pPr>
      <w:r>
        <w:rPr>
          <w:rFonts w:ascii="Arial" w:cs="Arial" w:eastAsia="Arial" w:hAnsi="Arial"/>
          <w:color w:val="333333"/>
          <w:sz w:val="22"/>
          <w:szCs w:val="22"/>
        </w:rPr>
        <w:t xml:space="preserve">SectorStressV2 tab shows banking at 0.72, energy at 0.81, maritime at 0.68, insurance at 0.45. Each sector has a provenance annotation showing which propagation step drove the score.</w:t>
      </w:r>
    </w:p>
    <w:p>
      <w:pPr>
        <w:spacing w:after="100" w:before="200"/>
      </w:pPr>
      <w:r>
        <w:rPr>
          <w:rFonts w:ascii="Arial" w:cs="Arial" w:eastAsia="Arial" w:hAnsi="Arial"/>
          <w:b/>
          <w:bCs/>
          <w:color w:val="455A64"/>
          <w:sz w:val="24"/>
          <w:szCs w:val="24"/>
        </w:rPr>
        <w:t xml:space="preserve">Level 3 — Propagation Chain (2 minutes)</w:t>
      </w:r>
    </w:p>
    <w:p>
      <w:pPr>
        <w:spacing w:after="160" w:line="276"/>
        <w:jc w:val="left"/>
      </w:pPr>
      <w:r>
        <w:rPr>
          <w:rFonts w:ascii="Arial" w:cs="Arial" w:eastAsia="Arial" w:hAnsi="Arial"/>
          <w:color w:val="333333"/>
          <w:sz w:val="22"/>
          <w:szCs w:val="22"/>
        </w:rPr>
        <w:t xml:space="preserve">CRO drills into full causal chain to prepare for the board call. Sees 7-step propagation: Hormuz strait → crude tanker delay → Fujairah terminal congestion → energy price spike → trade finance LC exposure → banking liquidity stress → insurance reinsurance trigger. Each link has a computed amplitude and time offset.</w:t>
      </w:r>
    </w:p>
    <w:p>
      <w:pPr>
        <w:pStyle w:val="Heading2"/>
        <w:spacing w:after="150" w:before="300"/>
      </w:pPr>
      <w:r>
        <w:rPr>
          <w:rFonts w:ascii="Arial" w:cs="Arial" w:eastAsia="Arial" w:hAnsi="Arial"/>
          <w:b/>
          <w:bCs/>
          <w:color w:val="00897B"/>
          <w:sz w:val="28"/>
          <w:szCs w:val="28"/>
        </w:rPr>
        <w:t xml:space="preserve">What Decision Is Taken</w:t>
      </w:r>
    </w:p>
    <w:p>
      <w:pPr>
        <w:spacing w:after="160" w:line="276"/>
        <w:jc w:val="left"/>
      </w:pPr>
      <w:r>
        <w:rPr>
          <w:rFonts w:ascii="Arial" w:cs="Arial" w:eastAsia="Arial" w:hAnsi="Arial"/>
          <w:color w:val="333333"/>
          <w:sz w:val="22"/>
          <w:szCs w:val="22"/>
        </w:rPr>
        <w:t xml:space="preserve">CRO approves Action #1 (liquidity buffer activation) via the Submit for Review button. The action enters the decision audit trail with SHA-256 hash, timestamp, and the CRO’s approval. CRO forwards the Executive Snapshot (Level 1) to the CEO with a one-line note: "Activating liquidity buffer per attached analysis. $12M cost, avoids $180M downside. Full provenance attached."</w:t>
      </w:r>
    </w:p>
    <w:p>
      <w:pPr>
        <w:pStyle w:val="Heading2"/>
        <w:spacing w:after="150" w:before="300"/>
      </w:pPr>
      <w:r>
        <w:rPr>
          <w:rFonts w:ascii="Arial" w:cs="Arial" w:eastAsia="Arial" w:hAnsi="Arial"/>
          <w:b/>
          <w:bCs/>
          <w:color w:val="00897B"/>
          <w:sz w:val="28"/>
          <w:szCs w:val="28"/>
        </w:rPr>
        <w:t xml:space="preserve">What Output Is Used in Reality</w:t>
      </w:r>
    </w:p>
    <w:p>
      <w:pPr>
        <w:spacing w:after="160" w:line="276"/>
        <w:jc w:val="left"/>
      </w:pPr>
      <w:r>
        <w:rPr>
          <w:rFonts w:ascii="Arial" w:cs="Arial" w:eastAsia="Arial" w:hAnsi="Arial"/>
          <w:color w:val="333333"/>
          <w:sz w:val="22"/>
          <w:szCs w:val="22"/>
        </w:rPr>
        <w:t xml:space="preserve">Three artifacts leave the system: (1) The Executive Snapshot screenshot, sent to CEO and board risk committee. (2) The decision audit record, filed with compliance for regulatory documentation. (3) The provenance chain, available on demand if the regulator asks "why did you activate the facility?"</w:t>
      </w:r>
    </w:p>
    <w:p>
      <w:pPr>
        <w:spacing w:after="160" w:line="276"/>
        <w:jc w:val="left"/>
      </w:pPr>
      <w:r>
        <w:rPr>
          <w:rFonts w:ascii="Arial" w:cs="Arial" w:eastAsia="Arial" w:hAnsi="Arial"/>
          <w:color w:val="333333"/>
          <w:sz w:val="22"/>
          <w:szCs w:val="22"/>
        </w:rPr>
        <w:t xml:space="preserve">Total time from event to institutional action: 15 minutes. Previous process: 48–72 hours.</w:t>
      </w:r>
    </w:p>
    <w:p>
      <w:r>
        <w:br w:type="page"/>
      </w:r>
    </w:p>
    <w:p>
      <w:pPr>
        <w:pStyle w:val="Heading1"/>
        <w:spacing w:after="200" w:before="400"/>
      </w:pPr>
      <w:r>
        <w:rPr>
          <w:rFonts w:ascii="Arial" w:cs="Arial" w:eastAsia="Arial" w:hAnsi="Arial"/>
          <w:b/>
          <w:bCs/>
          <w:color w:val="0B1D3A"/>
          <w:sz w:val="36"/>
          <w:szCs w:val="36"/>
        </w:rPr>
        <w:t xml:space="preserve">4. Six-to-Eight Week Roadmap</w:t>
      </w:r>
    </w:p>
    <w:p>
      <w:pPr>
        <w:pBdr>
          <w:bottom w:val="single" w:color="D4A843" w:sz="4" w:space="1"/>
        </w:pBdr>
        <w:spacing w:after="200" w:before="200"/>
      </w:pPr>
    </w:p>
    <w:p>
      <w:pPr>
        <w:spacing w:after="160" w:line="276"/>
        <w:jc w:val="left"/>
      </w:pPr>
      <w:r>
        <w:rPr>
          <w:rFonts w:ascii="Arial" w:cs="Arial" w:eastAsia="Arial" w:hAnsi="Arial"/>
          <w:b/>
          <w:bCs/>
          <w:color w:val="C62828"/>
          <w:sz w:val="22"/>
          <w:szCs w:val="22"/>
        </w:rPr>
        <w:t xml:space="preserve">Every week is mapped to the core use case. If a feature does not make the CRO’s Hormuz decision faster, more confident, or more auditable, it does not exist in this plan.</w:t>
      </w:r>
    </w:p>
    <w:p>
      <w:pPr>
        <w:pStyle w:val="Heading2"/>
        <w:spacing w:after="150" w:before="300"/>
      </w:pPr>
      <w:r>
        <w:rPr>
          <w:rFonts w:ascii="Arial" w:cs="Arial" w:eastAsia="Arial" w:hAnsi="Arial"/>
          <w:b/>
          <w:bCs/>
          <w:color w:val="00897B"/>
          <w:sz w:val="28"/>
          <w:szCs w:val="28"/>
        </w:rPr>
        <w:t xml:space="preserve">Weeks 1–2: Decision Room Polish</w:t>
      </w:r>
    </w:p>
    <w:p>
      <w:pPr>
        <w:spacing w:after="160" w:line="276"/>
        <w:jc w:val="left"/>
      </w:pPr>
      <w:r>
        <w:rPr>
          <w:rFonts w:ascii="Arial" w:cs="Arial" w:eastAsia="Arial" w:hAnsi="Arial"/>
          <w:b/>
          <w:bCs/>
          <w:color w:val="333333"/>
          <w:sz w:val="22"/>
          <w:szCs w:val="22"/>
        </w:rPr>
        <w:t xml:space="preserve">Goal: Make the Decision Room demo-ready for a CRO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Feature</w:t>
            </w:r>
          </w:p>
        </w:tc>
        <w:tc>
          <w:tcPr>
            <w:tcW w:type="dxa" w:w="15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Layer</w:t>
            </w:r>
          </w:p>
        </w:tc>
        <w:tc>
          <w:tcPr>
            <w:tcW w:type="dxa" w:w="466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Why It Matters</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Executive Snapshot data binding — wire real loss ranges, confidence intervals, breach timing from simulation output</w:t>
            </w:r>
          </w:p>
        </w:tc>
        <w:tc>
          <w:tcPr>
            <w:tcW w:type="dxa" w:w="1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color w:val="E65100"/>
                <w:sz w:val="20"/>
                <w:szCs w:val="20"/>
              </w:rPr>
              <w:t xml:space="preserve">Signal + Impact</w:t>
            </w:r>
          </w:p>
        </w:tc>
        <w:tc>
          <w:tcPr>
            <w:tcW w:type="dxa" w:w="4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CRO needs REAL numbers, not placeholder text. This is the 5-second view.</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Decision Action net value computation — connect decision_layer outputs to DecisionReasonCard net-value display</w:t>
            </w:r>
          </w:p>
        </w:tc>
        <w:tc>
          <w:tcPr>
            <w:tcW w:type="dxa" w:w="1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color w:val="D4A843"/>
                <w:sz w:val="20"/>
                <w:szCs w:val="20"/>
              </w:rPr>
              <w:t xml:space="preserve">Decision</w:t>
            </w:r>
          </w:p>
        </w:tc>
        <w:tc>
          <w:tcPr>
            <w:tcW w:type="dxa" w:w="46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Without computed net values, the CRO has no basis for ranked action approval.</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Severity slider UX — real-time re-simulation on slider change with sub-2-second response</w:t>
            </w:r>
          </w:p>
        </w:tc>
        <w:tc>
          <w:tcPr>
            <w:tcW w:type="dxa" w:w="1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color w:val="1565C0"/>
                <w:sz w:val="20"/>
                <w:szCs w:val="20"/>
              </w:rPr>
              <w:t xml:space="preserve">Signal</w:t>
            </w:r>
          </w:p>
        </w:tc>
        <w:tc>
          <w:tcPr>
            <w:tcW w:type="dxa" w:w="4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CRO will drag the slider in the demo. If it lags, the sale dies.</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PDF/screenshot export of Executive Snapshot</w:t>
            </w:r>
          </w:p>
        </w:tc>
        <w:tc>
          <w:tcPr>
            <w:tcW w:type="dxa" w:w="1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color w:val="2E7D32"/>
                <w:sz w:val="20"/>
                <w:szCs w:val="20"/>
              </w:rPr>
              <w:t xml:space="preserve">Outcome</w:t>
            </w:r>
          </w:p>
        </w:tc>
        <w:tc>
          <w:tcPr>
            <w:tcW w:type="dxa" w:w="46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CRO forwards this to CEO. No export = no internal champion loop.</w:t>
            </w:r>
          </w:p>
        </w:tc>
      </w:tr>
    </w:tbl>
    <w:p>
      <w:pPr>
        <w:pStyle w:val="Heading2"/>
        <w:spacing w:after="150" w:before="300"/>
      </w:pPr>
      <w:r>
        <w:rPr>
          <w:rFonts w:ascii="Arial" w:cs="Arial" w:eastAsia="Arial" w:hAnsi="Arial"/>
          <w:b/>
          <w:bCs/>
          <w:color w:val="00897B"/>
          <w:sz w:val="28"/>
          <w:szCs w:val="28"/>
        </w:rPr>
        <w:t xml:space="preserve">Weeks 3–4: Provenance &amp; Trust</w:t>
      </w:r>
    </w:p>
    <w:p>
      <w:pPr>
        <w:spacing w:after="160" w:line="276"/>
        <w:jc w:val="left"/>
      </w:pPr>
      <w:r>
        <w:rPr>
          <w:rFonts w:ascii="Arial" w:cs="Arial" w:eastAsia="Arial" w:hAnsi="Arial"/>
          <w:b/>
          <w:bCs/>
          <w:color w:val="333333"/>
          <w:sz w:val="22"/>
          <w:szCs w:val="22"/>
        </w:rPr>
        <w:t xml:space="preserve">Goal: Make every number explainable. The CRO’s #1 fear is being asked "where did that number come from?" and not having an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Feature</w:t>
            </w:r>
          </w:p>
        </w:tc>
        <w:tc>
          <w:tcPr>
            <w:tcW w:type="dxa" w:w="15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Layer</w:t>
            </w:r>
          </w:p>
        </w:tc>
        <w:tc>
          <w:tcPr>
            <w:tcW w:type="dxa" w:w="466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Why It Matters</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WhyMetricInline on all Executive Snapshot metrics — click any number, see formula + inputs</w:t>
            </w:r>
          </w:p>
        </w:tc>
        <w:tc>
          <w:tcPr>
            <w:tcW w:type="dxa" w:w="1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color w:val="2E7D32"/>
                <w:sz w:val="20"/>
                <w:szCs w:val="20"/>
              </w:rPr>
              <w:t xml:space="preserve">Outcome</w:t>
            </w:r>
          </w:p>
        </w:tc>
        <w:tc>
          <w:tcPr>
            <w:tcW w:type="dxa" w:w="4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Provenance is the trust layer. Without it, the product is a black box no CRO will sign off on.</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Decision confidence score display — show Conf = r1*DQ + r2*MC + r3*HS + r4*ST with factor breakdown</w:t>
            </w:r>
          </w:p>
        </w:tc>
        <w:tc>
          <w:tcPr>
            <w:tcW w:type="dxa" w:w="1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color w:val="D4A843"/>
                <w:sz w:val="20"/>
                <w:szCs w:val="20"/>
              </w:rPr>
              <w:t xml:space="preserve">Decision</w:t>
            </w:r>
          </w:p>
        </w:tc>
        <w:tc>
          <w:tcPr>
            <w:tcW w:type="dxa" w:w="46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CRO needs to tell the board "87% confidence" and explain what that means.</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Audit trail export — SHA-256 signed decision record as downloadable JSON + human-readable PDF</w:t>
            </w:r>
          </w:p>
        </w:tc>
        <w:tc>
          <w:tcPr>
            <w:tcW w:type="dxa" w:w="1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color w:val="2E7D32"/>
                <w:sz w:val="20"/>
                <w:szCs w:val="20"/>
              </w:rPr>
              <w:t xml:space="preserve">Outcome</w:t>
            </w:r>
          </w:p>
        </w:tc>
        <w:tc>
          <w:tcPr>
            <w:tcW w:type="dxa" w:w="4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Regulatory documentation. Non-negotiable for enterprise sale.</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Sector stress provenance annotations — each sector tab shows which propagation step drove the score</w:t>
            </w:r>
          </w:p>
        </w:tc>
        <w:tc>
          <w:tcPr>
            <w:tcW w:type="dxa" w:w="1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color w:val="E65100"/>
                <w:sz w:val="20"/>
                <w:szCs w:val="20"/>
              </w:rPr>
              <w:t xml:space="preserve">Impact</w:t>
            </w:r>
          </w:p>
        </w:tc>
        <w:tc>
          <w:tcPr>
            <w:tcW w:type="dxa" w:w="46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CRO needs to say "banking stress is 0.72 because of trade finance LC exposure" not just "0.72."</w:t>
            </w:r>
          </w:p>
        </w:tc>
      </w:tr>
    </w:tbl>
    <w:p>
      <w:pPr>
        <w:pStyle w:val="Heading2"/>
        <w:spacing w:after="150" w:before="300"/>
      </w:pPr>
      <w:r>
        <w:rPr>
          <w:rFonts w:ascii="Arial" w:cs="Arial" w:eastAsia="Arial" w:hAnsi="Arial"/>
          <w:b/>
          <w:bCs/>
          <w:color w:val="00897B"/>
          <w:sz w:val="28"/>
          <w:szCs w:val="28"/>
        </w:rPr>
        <w:t xml:space="preserve">Weeks 5–6: Enterprise Readiness</w:t>
      </w:r>
    </w:p>
    <w:p>
      <w:pPr>
        <w:spacing w:after="160" w:line="276"/>
        <w:jc w:val="left"/>
      </w:pPr>
      <w:r>
        <w:rPr>
          <w:rFonts w:ascii="Arial" w:cs="Arial" w:eastAsia="Arial" w:hAnsi="Arial"/>
          <w:b/>
          <w:bCs/>
          <w:color w:val="333333"/>
          <w:sz w:val="22"/>
          <w:szCs w:val="22"/>
        </w:rPr>
        <w:t xml:space="preserve">Goal: Remove every objection a CRO’s IT security and procurement team will raise.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Feature</w:t>
            </w:r>
          </w:p>
        </w:tc>
        <w:tc>
          <w:tcPr>
            <w:tcW w:type="dxa" w:w="15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Layer</w:t>
            </w:r>
          </w:p>
        </w:tc>
        <w:tc>
          <w:tcPr>
            <w:tcW w:type="dxa" w:w="466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Why It Matters</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Multi-tenant data isolation — each institution sees only their simulation runs</w:t>
            </w:r>
          </w:p>
        </w:tc>
        <w:tc>
          <w:tcPr>
            <w:tcW w:type="dxa" w:w="1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color w:val="2E7D32"/>
                <w:sz w:val="20"/>
                <w:szCs w:val="20"/>
              </w:rPr>
              <w:t xml:space="preserve">Outcome</w:t>
            </w:r>
          </w:p>
        </w:tc>
        <w:tc>
          <w:tcPr>
            <w:tcW w:type="dxa" w:w="4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Enterprise security requirement. No multi-tenancy = no procurement approval.</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API key authentication hardening — move from dev-mode CRO access to production JWT + API key</w:t>
            </w:r>
          </w:p>
        </w:tc>
        <w:tc>
          <w:tcPr>
            <w:tcW w:type="dxa" w:w="1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color w:val="2E7D32"/>
                <w:sz w:val="20"/>
                <w:szCs w:val="20"/>
              </w:rPr>
              <w:t xml:space="preserve">Outcome</w:t>
            </w:r>
          </w:p>
        </w:tc>
        <w:tc>
          <w:tcPr>
            <w:tcW w:type="dxa" w:w="46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Currently dev mode = no API key needed. Must be locked before enterprise pilot.</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Role-based access: CRO (full), CEO (Level 1 only), Analyst (Level 2–3 read-only)</w:t>
            </w:r>
          </w:p>
        </w:tc>
        <w:tc>
          <w:tcPr>
            <w:tcW w:type="dxa" w:w="1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color w:val="2E7D32"/>
                <w:sz w:val="20"/>
                <w:szCs w:val="20"/>
              </w:rPr>
              <w:t xml:space="preserve">Outcome</w:t>
            </w:r>
          </w:p>
        </w:tc>
        <w:tc>
          <w:tcPr>
            <w:tcW w:type="dxa" w:w="4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CRO will ask "can I give my CEO a read-only view?" Answer must be yes.</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Custom scenario parameters — let CRO adjust sector weights for their specific portfolio</w:t>
            </w:r>
          </w:p>
        </w:tc>
        <w:tc>
          <w:tcPr>
            <w:tcW w:type="dxa" w:w="1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color w:val="1565C0"/>
                <w:sz w:val="20"/>
                <w:szCs w:val="20"/>
              </w:rPr>
              <w:t xml:space="preserve">Signal</w:t>
            </w:r>
          </w:p>
        </w:tc>
        <w:tc>
          <w:tcPr>
            <w:tcW w:type="dxa" w:w="46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Generic scenarios demo well. Custom scenarios close deals.</w:t>
            </w:r>
          </w:p>
        </w:tc>
      </w:tr>
    </w:tbl>
    <w:p>
      <w:pPr>
        <w:pStyle w:val="Heading2"/>
        <w:spacing w:after="150" w:before="300"/>
      </w:pPr>
      <w:r>
        <w:rPr>
          <w:rFonts w:ascii="Arial" w:cs="Arial" w:eastAsia="Arial" w:hAnsi="Arial"/>
          <w:b/>
          <w:bCs/>
          <w:color w:val="00897B"/>
          <w:sz w:val="28"/>
          <w:szCs w:val="28"/>
        </w:rPr>
        <w:t xml:space="preserve">Weeks 7–8: Pilot Launch</w:t>
      </w:r>
    </w:p>
    <w:p>
      <w:pPr>
        <w:spacing w:after="160" w:line="276"/>
        <w:jc w:val="left"/>
      </w:pPr>
      <w:r>
        <w:rPr>
          <w:rFonts w:ascii="Arial" w:cs="Arial" w:eastAsia="Arial" w:hAnsi="Arial"/>
          <w:b/>
          <w:bCs/>
          <w:color w:val="333333"/>
          <w:sz w:val="22"/>
          <w:szCs w:val="22"/>
        </w:rPr>
        <w:t xml:space="preserve">Goal: First paying pilot with a GCC bank 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Feature</w:t>
            </w:r>
          </w:p>
        </w:tc>
        <w:tc>
          <w:tcPr>
            <w:tcW w:type="dxa" w:w="15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Layer</w:t>
            </w:r>
          </w:p>
        </w:tc>
        <w:tc>
          <w:tcPr>
            <w:tcW w:type="dxa" w:w="466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Why It Matters</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Pilot onboarding flow — guided first-run experience with Hormuz scenario walkthrough</w:t>
            </w:r>
          </w:p>
        </w:tc>
        <w:tc>
          <w:tcPr>
            <w:tcW w:type="dxa" w:w="1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color w:val="D4A843"/>
                <w:sz w:val="20"/>
                <w:szCs w:val="20"/>
              </w:rPr>
              <w:t xml:space="preserve">Decision</w:t>
            </w:r>
          </w:p>
        </w:tc>
        <w:tc>
          <w:tcPr>
            <w:tcW w:type="dxa" w:w="4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CRO will not read documentation. The product must teach itself in 10 minutes.</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Decision history dashboard — list of all past runs, decisions taken, outcomes tracked</w:t>
            </w:r>
          </w:p>
        </w:tc>
        <w:tc>
          <w:tcPr>
            <w:tcW w:type="dxa" w:w="1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color w:val="2E7D32"/>
                <w:sz w:val="20"/>
                <w:szCs w:val="20"/>
              </w:rPr>
              <w:t xml:space="preserve">Outcome</w:t>
            </w:r>
          </w:p>
        </w:tc>
        <w:tc>
          <w:tcPr>
            <w:tcW w:type="dxa" w:w="46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After week 1 of pilot, CRO asks "show me everything we’ve run." Must answer.</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Performance baseline — sub-2-second simulation, sub-500ms UI response, 99.5% uptime SLA</w:t>
            </w:r>
          </w:p>
        </w:tc>
        <w:tc>
          <w:tcPr>
            <w:tcW w:type="dxa" w:w="1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color w:val="455A64"/>
                <w:sz w:val="20"/>
                <w:szCs w:val="20"/>
              </w:rPr>
              <w:t xml:space="preserve">All layers</w:t>
            </w:r>
          </w:p>
        </w:tc>
        <w:tc>
          <w:tcPr>
            <w:tcW w:type="dxa" w:w="4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Enterprise SLA requirement. Pilot contract will specify these numbers.</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Billing integration — Stripe or manual invoicing for pilot-to-paid conversion</w:t>
            </w:r>
          </w:p>
        </w:tc>
        <w:tc>
          <w:tcPr>
            <w:tcW w:type="dxa" w:w="1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color w:val="455A64"/>
                <w:sz w:val="20"/>
                <w:szCs w:val="20"/>
              </w:rPr>
              <w:t xml:space="preserve">N/A</w:t>
            </w:r>
          </w:p>
        </w:tc>
        <w:tc>
          <w:tcPr>
            <w:tcW w:type="dxa" w:w="46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Pilot ends week 8. Must convert to paid. Cannot convert without billing.</w:t>
            </w:r>
          </w:p>
        </w:tc>
      </w:tr>
    </w:tbl>
    <w:p>
      <w:r>
        <w:br w:type="page"/>
      </w:r>
    </w:p>
    <w:p>
      <w:pPr>
        <w:pStyle w:val="Heading1"/>
        <w:spacing w:after="200" w:before="400"/>
      </w:pPr>
      <w:r>
        <w:rPr>
          <w:rFonts w:ascii="Arial" w:cs="Arial" w:eastAsia="Arial" w:hAnsi="Arial"/>
          <w:b/>
          <w:bCs/>
          <w:color w:val="0B1D3A"/>
          <w:sz w:val="36"/>
          <w:szCs w:val="36"/>
        </w:rPr>
        <w:t xml:space="preserve">5. What We Do NOT Build</w:t>
      </w:r>
    </w:p>
    <w:p>
      <w:pPr>
        <w:pBdr>
          <w:bottom w:val="single" w:color="D4A843" w:sz="4" w:space="1"/>
        </w:pBdr>
        <w:spacing w:after="200" w:before="200"/>
      </w:pPr>
    </w:p>
    <w:p>
      <w:pPr>
        <w:spacing w:after="160" w:line="276"/>
        <w:jc w:val="left"/>
      </w:pPr>
      <w:r>
        <w:rPr>
          <w:rFonts w:ascii="Arial" w:cs="Arial" w:eastAsia="Arial" w:hAnsi="Arial"/>
          <w:b/>
          <w:bCs/>
          <w:color w:val="C62828"/>
          <w:sz w:val="22"/>
          <w:szCs w:val="22"/>
        </w:rPr>
        <w:t xml:space="preserve">This section is the most important in the document. Everything below is real, valuable, and tempting. We are not building any of it in the next 8 weeks. Deliberately.</w:t>
      </w:r>
    </w:p>
    <w:p>
      <w:pPr>
        <w:pStyle w:val="Heading2"/>
        <w:spacing w:after="150" w:before="300"/>
      </w:pPr>
      <w:r>
        <w:rPr>
          <w:rFonts w:ascii="Arial" w:cs="Arial" w:eastAsia="Arial" w:hAnsi="Arial"/>
          <w:b/>
          <w:bCs/>
          <w:color w:val="00897B"/>
          <w:sz w:val="28"/>
          <w:szCs w:val="28"/>
        </w:rPr>
        <w:t xml:space="preserve">Delayed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Feature / Module</w:t>
            </w:r>
          </w:p>
        </w:tc>
        <w:tc>
          <w:tcPr>
            <w:tcW w:type="dxa" w:w="22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Status</w:t>
            </w:r>
          </w:p>
        </w:tc>
        <w:tc>
          <w:tcPr>
            <w:tcW w:type="dxa" w:w="436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Why We Delay</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CesiumJS / 3D Globe Map</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C62828"/>
                <w:sz w:val="20"/>
                <w:szCs w:val="20"/>
              </w:rPr>
              <w:t xml:space="preserve">DELAY</w:t>
            </w:r>
          </w:p>
        </w:tc>
        <w:tc>
          <w:tcPr>
            <w:tcW w:type="dxa" w:w="4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Beautiful but not decision-critical. CRO does not need a globe to approve a liquidity buffer. Ship after pilot proves demand.</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Graph Explorer (Neo4j UI)</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C62828"/>
                <w:sz w:val="20"/>
                <w:szCs w:val="20"/>
              </w:rPr>
              <w:t xml:space="preserve">DELAY</w:t>
            </w:r>
          </w:p>
        </w:tc>
        <w:tc>
          <w:tcPr>
            <w:tcW w:type="dxa" w:w="4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Analyst tool, not CRO tool. Propagation chain in Level 3 covers the decision need. Full graph exploration is a Phase 2 product.</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Real-time Data Feeds (ACLED, AIS, OpenSky)</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C62828"/>
                <w:sz w:val="20"/>
                <w:szCs w:val="20"/>
              </w:rPr>
              <w:t xml:space="preserve">DELAY</w:t>
            </w:r>
          </w:p>
        </w:tc>
        <w:tc>
          <w:tcPr>
            <w:tcW w:type="dxa" w:w="4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Requires API keys, data cleaning, latency management. Calibrated scenarios with manual severity input delivers 90% of value at 10% of complexity.</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Slack / GitHub / Vercel Connectors</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C62828"/>
                <w:sz w:val="20"/>
                <w:szCs w:val="20"/>
              </w:rPr>
              <w:t xml:space="preserve">DELAY</w:t>
            </w:r>
          </w:p>
        </w:tc>
        <w:tc>
          <w:tcPr>
            <w:tcW w:type="dxa" w:w="4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Developer workflow integration. CRO does not use Slack for crisis decisions. These serve a different buyer.</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LLM / RAG Pipeline (Ollama)</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C62828"/>
                <w:sz w:val="20"/>
                <w:szCs w:val="20"/>
              </w:rPr>
              <w:t xml:space="preserve">DELAY</w:t>
            </w:r>
          </w:p>
        </w:tc>
        <w:tc>
          <w:tcPr>
            <w:tcW w:type="dxa" w:w="4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Natural language query over simulation results. Powerful but adds model-drift risk, hallucination liability, and regulatory complexity. Deterministic engine is the trust differentiator.</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Full IFRS 17 Compliance Module</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C62828"/>
                <w:sz w:val="20"/>
                <w:szCs w:val="20"/>
              </w:rPr>
              <w:t xml:space="preserve">DELAY</w:t>
            </w:r>
          </w:p>
        </w:tc>
        <w:tc>
          <w:tcPr>
            <w:tcW w:type="dxa" w:w="4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Insurance-specific regulatory layer. First buyer is banking CRO, not insurance. Build when we expand to insurance vertical.</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Multi-language UI (full Arabic)</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C62828"/>
                <w:sz w:val="20"/>
                <w:szCs w:val="20"/>
              </w:rPr>
              <w:t xml:space="preserve">DELAY</w:t>
            </w:r>
          </w:p>
        </w:tc>
        <w:tc>
          <w:tcPr>
            <w:tcW w:type="dxa" w:w="4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Scenario labels and Executive Snapshot support Arabic. Full RTL UI is a localization project, not a product priority.</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Mobile App (Swift/SwiftUI)</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C62828"/>
                <w:sz w:val="20"/>
                <w:szCs w:val="20"/>
              </w:rPr>
              <w:t xml:space="preserve">DELAY</w:t>
            </w:r>
          </w:p>
        </w:tc>
        <w:tc>
          <w:tcPr>
            <w:tcW w:type="dxa" w:w="4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CRO uses desktop in crisis. Mobile is convenience, not necessity. Ship after 10 paying customers.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Counterfactual Engine UI</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C62828"/>
                <w:sz w:val="20"/>
                <w:szCs w:val="20"/>
              </w:rPr>
              <w:t xml:space="preserve">DELAY</w:t>
            </w:r>
          </w:p>
        </w:tc>
        <w:tc>
          <w:tcPr>
            <w:tcW w:type="dxa" w:w="4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Backend exists. UI does not need to show "what if you do nothing" until after the CRO has committed to "what if you act." Phase 2.</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Workflow / Lifecycle Panels</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C62828"/>
                <w:sz w:val="20"/>
                <w:szCs w:val="20"/>
              </w:rPr>
              <w:t xml:space="preserve">DELAY</w:t>
            </w:r>
          </w:p>
        </w:tc>
        <w:tc>
          <w:tcPr>
            <w:tcW w:type="dxa" w:w="4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Operational process recommendations. Useful post-decision. Not decision-critical. Keep in accordion, do not invest further.</w:t>
            </w:r>
          </w:p>
        </w:tc>
      </w:tr>
    </w:tbl>
    <w:p>
      <w:pPr>
        <w:spacing w:before="160"/>
      </w:pPr>
    </w:p>
    <w:p>
      <w:pPr>
        <w:pStyle w:val="Heading2"/>
        <w:spacing w:after="150" w:before="300"/>
      </w:pPr>
      <w:r>
        <w:rPr>
          <w:rFonts w:ascii="Arial" w:cs="Arial" w:eastAsia="Arial" w:hAnsi="Arial"/>
          <w:b/>
          <w:bCs/>
          <w:color w:val="00897B"/>
          <w:sz w:val="28"/>
          <w:szCs w:val="28"/>
        </w:rPr>
        <w:t xml:space="preserve">Modules to Explicitly Ignore</w:t>
      </w:r>
    </w:p>
    <w:p>
      <w:pPr>
        <w:spacing w:after="160" w:line="276"/>
        <w:jc w:val="left"/>
      </w:pPr>
      <w:r>
        <w:rPr>
          <w:rFonts w:ascii="Arial" w:cs="Arial" w:eastAsia="Arial" w:hAnsi="Arial"/>
          <w:color w:val="333333"/>
          <w:sz w:val="22"/>
          <w:szCs w:val="22"/>
        </w:rPr>
        <w:t xml:space="preserve">AnalystView (754 lines), OperatorDecisionPanel (1,007 lines), AuthorityQueuePanel (794 lines), ExecutiveControlTower (639 lines) — these are alternative interface surfaces that compete with DecisionRoomV2 for attention and maintenance. They are redirected to /command-center. Do not fix bugs in them. Do not add features. They are dead code walking. After pilot, evaluate whether to formally delete or repurpose.</w:t>
      </w:r>
    </w:p>
    <w:p>
      <w:pPr>
        <w:pStyle w:val="Heading2"/>
        <w:spacing w:after="150" w:before="300"/>
      </w:pPr>
      <w:r>
        <w:rPr>
          <w:rFonts w:ascii="Arial" w:cs="Arial" w:eastAsia="Arial" w:hAnsi="Arial"/>
          <w:b/>
          <w:bCs/>
          <w:color w:val="00897B"/>
          <w:sz w:val="28"/>
          <w:szCs w:val="28"/>
        </w:rPr>
        <w:t xml:space="preserve">Layers to Postpone</w:t>
      </w:r>
    </w:p>
    <w:p>
      <w:pPr>
        <w:spacing w:after="160" w:line="276"/>
        <w:jc w:val="left"/>
      </w:pPr>
      <w:r>
        <w:rPr>
          <w:rFonts w:ascii="Arial" w:cs="Arial" w:eastAsia="Arial" w:hAnsi="Arial"/>
          <w:color w:val="333333"/>
          <w:sz w:val="22"/>
          <w:szCs w:val="22"/>
        </w:rPr>
        <w:t xml:space="preserve">The Outcome layer is 40% of the total module count but only 20% of the value in the first sale. Governance panels, pilot readiness assessments, and CFO value models are post-sale retention features, not pre-sale acquisition features. Ship the minimum Outcome layer (provenance + audit trail + export) and defer everything else.</w:t>
      </w:r>
    </w:p>
    <w:p>
      <w:r>
        <w:br w:type="page"/>
      </w:r>
    </w:p>
    <w:p>
      <w:pPr>
        <w:pStyle w:val="Heading1"/>
        <w:spacing w:after="200" w:before="400"/>
      </w:pPr>
      <w:r>
        <w:rPr>
          <w:rFonts w:ascii="Arial" w:cs="Arial" w:eastAsia="Arial" w:hAnsi="Arial"/>
          <w:b/>
          <w:bCs/>
          <w:color w:val="0B1D3A"/>
          <w:sz w:val="36"/>
          <w:szCs w:val="36"/>
        </w:rPr>
        <w:t xml:space="preserve">6. MVP Definition — Decision-Grade Minimum</w:t>
      </w:r>
    </w:p>
    <w:p>
      <w:pPr>
        <w:pBdr>
          <w:bottom w:val="single" w:color="D4A843" w:sz="4" w:space="1"/>
        </w:pBdr>
        <w:spacing w:after="200" w:before="200"/>
      </w:pPr>
    </w:p>
    <w:p>
      <w:pPr>
        <w:pBdr>
          <w:left w:val="single" w:color="2E7D32" w:sz="14" w:space="10"/>
        </w:pBdr>
        <w:spacing w:after="200" w:before="160"/>
        <w:ind w:left="500"/>
      </w:pPr>
      <w:r>
        <w:rPr>
          <w:rFonts w:ascii="Arial" w:cs="Arial" w:eastAsia="Arial" w:hAnsi="Arial"/>
          <w:b/>
          <w:bCs/>
          <w:i/>
          <w:iCs/>
          <w:color w:val="2E7D32"/>
          <w:sz w:val="26"/>
          <w:szCs w:val="26"/>
        </w:rPr>
        <w:t xml:space="preserve">The MVP is the minimum system where a CRO can make a real institutional decision and defend it to the board.</w:t>
      </w:r>
    </w:p>
    <w:p>
      <w:pPr>
        <w:pStyle w:val="Heading2"/>
        <w:spacing w:after="150" w:before="300"/>
      </w:pPr>
      <w:r>
        <w:rPr>
          <w:rFonts w:ascii="Arial" w:cs="Arial" w:eastAsia="Arial" w:hAnsi="Arial"/>
          <w:b/>
          <w:bCs/>
          <w:color w:val="00897B"/>
          <w:sz w:val="28"/>
          <w:szCs w:val="28"/>
        </w:rPr>
        <w:t xml:space="preserve">What Is IN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Component</w:t>
            </w:r>
          </w:p>
        </w:tc>
        <w:tc>
          <w:tcPr>
            <w:tcW w:type="dxa" w:w="586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MVP Specification</w:t>
            </w:r>
          </w:p>
        </w:tc>
      </w:tr>
      <w:tr>
        <w:tc>
          <w:tcPr>
            <w:tcW w:type="dxa" w:w="3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Scenario Selection</w:t>
            </w:r>
          </w:p>
        </w:tc>
        <w:tc>
          <w:tcPr>
            <w:tcW w:type="dxa" w:w="58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Dropdown with 15 calibrated scenarios. Severity slider 0.0–1.0. Run button.</w:t>
            </w:r>
          </w:p>
        </w:tc>
      </w:tr>
      <w:tr>
        <w:tc>
          <w:tcPr>
            <w:tcW w:type="dxa" w:w="3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Executive Snapshot (Level 1)</w:t>
            </w:r>
          </w:p>
        </w:tc>
        <w:tc>
          <w:tcPr>
            <w:tcW w:type="dxa" w:w="58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4 rows: scenario identity + severity, propagation statement, 3 impact cards (loss range, risk level, breach timing), 3 decision summaries with net values.</w:t>
            </w:r>
          </w:p>
        </w:tc>
      </w:tr>
      <w:tr>
        <w:tc>
          <w:tcPr>
            <w:tcW w:type="dxa" w:w="3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Decision Cards (Level 2)</w:t>
            </w:r>
          </w:p>
        </w:tc>
        <w:tc>
          <w:tcPr>
            <w:tcW w:type="dxa" w:w="58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Expandable cards for top 3 actions. Each shows: title, net value, confidence score, escalation trigger, one-paragraph reasoning.</w:t>
            </w:r>
          </w:p>
        </w:tc>
      </w:tr>
      <w:tr>
        <w:tc>
          <w:tcPr>
            <w:tcW w:type="dxa" w:w="3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Sector Stress (Level 2)</w:t>
            </w:r>
          </w:p>
        </w:tc>
        <w:tc>
          <w:tcPr>
            <w:tcW w:type="dxa" w:w="58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Tabbed view: banking, insurance, fintech. Each tab shows stress score with provenance annotation.</w:t>
            </w:r>
          </w:p>
        </w:tc>
      </w:tr>
      <w:tr>
        <w:tc>
          <w:tcPr>
            <w:tcW w:type="dxa" w:w="3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Propagation Chain (Level 3)</w:t>
            </w:r>
          </w:p>
        </w:tc>
        <w:tc>
          <w:tcPr>
            <w:tcW w:type="dxa" w:w="58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Full causal chain visualization. Each node shows transmission mechanism and computed amplitude.</w:t>
            </w:r>
          </w:p>
        </w:tc>
      </w:tr>
      <w:tr>
        <w:tc>
          <w:tcPr>
            <w:tcW w:type="dxa" w:w="3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Provenance (click-through)</w:t>
            </w:r>
          </w:p>
        </w:tc>
        <w:tc>
          <w:tcPr>
            <w:tcW w:type="dxa" w:w="58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WhyMetricInline on every metric. Click → see formula, inputs, weights.</w:t>
            </w:r>
          </w:p>
        </w:tc>
      </w:tr>
      <w:tr>
        <w:tc>
          <w:tcPr>
            <w:tcW w:type="dxa" w:w="3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Export</w:t>
            </w:r>
          </w:p>
        </w:tc>
        <w:tc>
          <w:tcPr>
            <w:tcW w:type="dxa" w:w="58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PDF export of Executive Snapshot. JSON export of audit trail with SHA-256 hash.</w:t>
            </w:r>
          </w:p>
        </w:tc>
      </w:tr>
      <w:tr>
        <w:tc>
          <w:tcPr>
            <w:tcW w:type="dxa" w:w="3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Authentication</w:t>
            </w:r>
          </w:p>
        </w:tc>
        <w:tc>
          <w:tcPr>
            <w:tcW w:type="dxa" w:w="58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API key + JWT. Role-based: CRO (full), CEO (Level 1 view-only).</w:t>
            </w:r>
          </w:p>
        </w:tc>
      </w:tr>
      <w:tr>
        <w:tc>
          <w:tcPr>
            <w:tcW w:type="dxa" w:w="3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333333"/>
                <w:sz w:val="20"/>
                <w:szCs w:val="20"/>
              </w:rPr>
              <w:t xml:space="preserve">Performance</w:t>
            </w:r>
          </w:p>
        </w:tc>
        <w:tc>
          <w:tcPr>
            <w:tcW w:type="dxa" w:w="58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Simulation: &lt;2 seconds. UI response: &lt;500ms. Uptime: 99.5%.</w:t>
            </w:r>
          </w:p>
        </w:tc>
      </w:tr>
    </w:tbl>
    <w:p>
      <w:pPr>
        <w:pStyle w:val="Heading2"/>
        <w:spacing w:after="150" w:before="300"/>
      </w:pPr>
      <w:r>
        <w:rPr>
          <w:rFonts w:ascii="Arial" w:cs="Arial" w:eastAsia="Arial" w:hAnsi="Arial"/>
          <w:b/>
          <w:bCs/>
          <w:color w:val="00897B"/>
          <w:sz w:val="28"/>
          <w:szCs w:val="28"/>
        </w:rPr>
        <w:t xml:space="preserve">What Is NOT in the MVP</w:t>
      </w:r>
    </w:p>
    <w:p>
      <w:pPr>
        <w:spacing w:after="160" w:line="276"/>
        <w:jc w:val="left"/>
      </w:pPr>
      <w:r>
        <w:rPr>
          <w:rFonts w:ascii="Arial" w:cs="Arial" w:eastAsia="Arial" w:hAnsi="Arial"/>
          <w:color w:val="333333"/>
          <w:sz w:val="22"/>
          <w:szCs w:val="22"/>
        </w:rPr>
        <w:t xml:space="preserve">No map visualization. No graph explorer. No real-time data feeds. No LLM integration. No mobile app. No multi-language UI beyond scenario labels. No custom scenario creation (use the 15 calibrated ones). No team collaboration features. No notification system. No integration APIs.</w:t>
      </w:r>
    </w:p>
    <w:p>
      <w:pPr>
        <w:pStyle w:val="Heading2"/>
        <w:spacing w:after="150" w:before="300"/>
      </w:pPr>
      <w:r>
        <w:rPr>
          <w:rFonts w:ascii="Arial" w:cs="Arial" w:eastAsia="Arial" w:hAnsi="Arial"/>
          <w:b/>
          <w:bCs/>
          <w:color w:val="00897B"/>
          <w:sz w:val="28"/>
          <w:szCs w:val="28"/>
        </w:rPr>
        <w:t xml:space="preserve">The MVP Test</w:t>
      </w:r>
    </w:p>
    <w:p>
      <w:pPr>
        <w:spacing w:after="160" w:line="276"/>
        <w:jc w:val="left"/>
      </w:pPr>
      <w:r>
        <w:rPr>
          <w:rFonts w:ascii="Arial" w:cs="Arial" w:eastAsia="Arial" w:hAnsi="Arial"/>
          <w:color w:val="333333"/>
          <w:sz w:val="22"/>
          <w:szCs w:val="22"/>
        </w:rPr>
        <w:t xml:space="preserve">Put a GCC bank CRO in front of the screen. Give them the Hormuz scenario. Ask them: "Can you make a decision with this?" If the answer is yes, the MVP is complete. If the answer is "I need more data" or "I need to check with my team," identify exactly what is missing and add only that.</w:t>
      </w:r>
    </w:p>
    <w:p>
      <w:r>
        <w:br w:type="page"/>
      </w:r>
    </w:p>
    <w:p>
      <w:pPr>
        <w:pStyle w:val="Heading1"/>
        <w:spacing w:after="200" w:before="400"/>
      </w:pPr>
      <w:r>
        <w:rPr>
          <w:rFonts w:ascii="Arial" w:cs="Arial" w:eastAsia="Arial" w:hAnsi="Arial"/>
          <w:b/>
          <w:bCs/>
          <w:color w:val="0B1D3A"/>
          <w:sz w:val="36"/>
          <w:szCs w:val="36"/>
        </w:rPr>
        <w:t xml:space="preserve">7. Success Metrics — Five Numbers</w:t>
      </w:r>
    </w:p>
    <w:p>
      <w:pPr>
        <w:pBdr>
          <w:bottom w:val="single" w:color="D4A843" w:sz="4" w:space="1"/>
        </w:pBdr>
        <w:spacing w:after="200" w:before="200"/>
      </w:pPr>
    </w:p>
    <w:p>
      <w:pPr>
        <w:spacing w:after="160" w:line="276"/>
        <w:jc w:val="left"/>
      </w:pPr>
      <w:r>
        <w:rPr>
          <w:rFonts w:ascii="Arial" w:cs="Arial" w:eastAsia="Arial" w:hAnsi="Arial"/>
          <w:b/>
          <w:bCs/>
          <w:color w:val="333333"/>
          <w:sz w:val="22"/>
          <w:szCs w:val="22"/>
        </w:rPr>
        <w:t xml:space="preserve">Every metric has a target. If we hit all five, the product is working. If we miss any single one, we have a specific problem to diagnose.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Metric</w:t>
            </w:r>
          </w:p>
        </w:tc>
        <w:tc>
          <w:tcPr>
            <w:tcW w:type="dxa" w:w="28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Definition</w:t>
            </w:r>
          </w:p>
        </w:tc>
        <w:tc>
          <w:tcPr>
            <w:tcW w:type="dxa" w:w="24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Target (Week 8)</w:t>
            </w:r>
          </w:p>
        </w:tc>
        <w:tc>
          <w:tcPr>
            <w:tcW w:type="dxa" w:w="236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How We Measure</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1. Adoption</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Number of distinct CROs who complete a full scenario run (select → run → view Level 1)</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3 pilot CROs, 10+ runs each</w:t>
            </w:r>
          </w:p>
        </w:tc>
        <w:tc>
          <w:tcPr>
            <w:tcW w:type="dxa" w:w="2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Backend run logs (run_id + user_id)</w:t>
            </w:r>
          </w:p>
        </w:tc>
      </w:tr>
      <w:tr>
        <w:tc>
          <w:tcPr>
            <w:tcW w:type="dxa" w:w="1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2. Decision Speed</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Time from scenario selection to decision action approval</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&lt; 15 minutes (down from 48–72 hours)</w:t>
            </w:r>
          </w:p>
        </w:tc>
        <w:tc>
          <w:tcPr>
            <w:tcW w:type="dxa" w:w="2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Timestamp delta: run creation → action approval</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3. Decision Confidence</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CRO-reported confidence that they can defend the decision to the board</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4.0+ out of 5.0 in post-session survey</w:t>
            </w:r>
          </w:p>
        </w:tc>
        <w:tc>
          <w:tcPr>
            <w:tcW w:type="dxa" w:w="2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Structured pilot feedback form</w:t>
            </w:r>
          </w:p>
        </w:tc>
      </w:tr>
      <w:tr>
        <w:tc>
          <w:tcPr>
            <w:tcW w:type="dxa" w:w="1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4. ROI Visibility</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Can the CRO articulate the dollar value of using the system vs. not using it?</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100% of pilot CROs can state a specific $ figure</w:t>
            </w:r>
          </w:p>
        </w:tc>
        <w:tc>
          <w:tcPr>
            <w:tcW w:type="dxa" w:w="2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Pilot exit interview</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5. System Usage</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Weekly active usage during pilot period</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3+ sessions per CRO per week</w:t>
            </w:r>
          </w:p>
        </w:tc>
        <w:tc>
          <w:tcPr>
            <w:tcW w:type="dxa" w:w="2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Backend session analytics</w:t>
            </w:r>
          </w:p>
        </w:tc>
      </w:tr>
    </w:tbl>
    <w:p>
      <w:pPr>
        <w:spacing w:before="160"/>
      </w:pPr>
    </w:p>
    <w:p>
      <w:pPr>
        <w:pStyle w:val="Heading2"/>
        <w:spacing w:after="150" w:before="300"/>
      </w:pPr>
      <w:r>
        <w:rPr>
          <w:rFonts w:ascii="Arial" w:cs="Arial" w:eastAsia="Arial" w:hAnsi="Arial"/>
          <w:b/>
          <w:bCs/>
          <w:color w:val="00897B"/>
          <w:sz w:val="28"/>
          <w:szCs w:val="28"/>
        </w:rPr>
        <w:t xml:space="preserve">Leading Indicators (Weeks 1–4)</w:t>
      </w:r>
    </w:p>
    <w:p>
      <w:pPr>
        <w:spacing w:after="160" w:line="276"/>
        <w:jc w:val="left"/>
      </w:pPr>
      <w:r>
        <w:rPr>
          <w:rFonts w:ascii="Arial" w:cs="Arial" w:eastAsia="Arial" w:hAnsi="Arial"/>
          <w:color w:val="333333"/>
          <w:sz w:val="22"/>
          <w:szCs w:val="22"/>
        </w:rPr>
        <w:t xml:space="preserve">Before we have pilot CROs, we measure internal proxies: simulation pass rate across all 15 scenarios at severity 0.7 (target: 100%, currently: 100%), Executive Snapshot data completeness (target: all 4 rows populated with real data, no placeholders), provenance click-through depth (target: every metric links to formula), and export fidelity (target: PDF matches screen 1:1).</w:t>
      </w:r>
    </w:p>
    <w:p>
      <w:pPr>
        <w:pStyle w:val="Heading2"/>
        <w:spacing w:after="150" w:before="300"/>
      </w:pPr>
      <w:r>
        <w:rPr>
          <w:rFonts w:ascii="Arial" w:cs="Arial" w:eastAsia="Arial" w:hAnsi="Arial"/>
          <w:b/>
          <w:bCs/>
          <w:color w:val="00897B"/>
          <w:sz w:val="28"/>
          <w:szCs w:val="28"/>
        </w:rPr>
        <w:t xml:space="preserve">Lagging Indicators (Week 8+)</w:t>
      </w:r>
    </w:p>
    <w:p>
      <w:pPr>
        <w:spacing w:after="160" w:line="276"/>
        <w:jc w:val="left"/>
      </w:pPr>
      <w:r>
        <w:rPr>
          <w:rFonts w:ascii="Arial" w:cs="Arial" w:eastAsia="Arial" w:hAnsi="Arial"/>
          <w:color w:val="333333"/>
          <w:sz w:val="22"/>
          <w:szCs w:val="22"/>
        </w:rPr>
        <w:t xml:space="preserve">Pilot-to-paid conversion rate (target: 2 of 3 pilot CROs convert). Net Promoter Score among pilot users (target: 50+). Inbound inquiry rate from CRO referrals (target: 2+ unprompted inquiries from pilot CRO networks).</w:t>
      </w:r>
    </w:p>
    <w:p>
      <w:r>
        <w:br w:type="page"/>
      </w:r>
    </w:p>
    <w:p>
      <w:pPr>
        <w:pStyle w:val="Heading1"/>
        <w:spacing w:after="200" w:before="400"/>
      </w:pPr>
      <w:r>
        <w:rPr>
          <w:rFonts w:ascii="Arial" w:cs="Arial" w:eastAsia="Arial" w:hAnsi="Arial"/>
          <w:b/>
          <w:bCs/>
          <w:color w:val="0B1D3A"/>
          <w:sz w:val="36"/>
          <w:szCs w:val="36"/>
        </w:rPr>
        <w:t xml:space="preserve">8. Execution Order — Step by Step</w:t>
      </w:r>
    </w:p>
    <w:p>
      <w:pPr>
        <w:pBdr>
          <w:bottom w:val="single" w:color="D4A843" w:sz="4" w:space="1"/>
        </w:pBdr>
        <w:spacing w:after="200" w:before="200"/>
      </w:pPr>
    </w:p>
    <w:p>
      <w:pPr>
        <w:spacing w:after="160" w:line="276"/>
        <w:jc w:val="left"/>
      </w:pPr>
      <w:r>
        <w:rPr>
          <w:rFonts w:ascii="Arial" w:cs="Arial" w:eastAsia="Arial" w:hAnsi="Arial"/>
          <w:b/>
          <w:bCs/>
          <w:color w:val="333333"/>
          <w:sz w:val="22"/>
          <w:szCs w:val="22"/>
        </w:rPr>
        <w:t xml:space="preserve">Each step builds on the previous. No step is theoretical. Every step has a completion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c>
          <w:tcPr>
            <w:tcW w:type="dxa" w:w="7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Step</w:t>
            </w:r>
          </w:p>
        </w:tc>
        <w:tc>
          <w:tcPr>
            <w:tcW w:type="dxa" w:w="32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Action</w:t>
            </w:r>
          </w:p>
        </w:tc>
        <w:tc>
          <w:tcPr>
            <w:tcW w:type="dxa" w:w="32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Completion Test</w:t>
            </w:r>
          </w:p>
        </w:tc>
        <w:tc>
          <w:tcPr>
            <w:tcW w:type="dxa" w:w="226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Depends On</w:t>
            </w:r>
          </w:p>
        </w:tc>
      </w:tr>
      <w:tr>
        <w:tc>
          <w:tcPr>
            <w:tcW w:type="dxa" w:w="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1</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Wire real loss ranges + confidence intervals into Executive Snapshot</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Level 1 shows dollar ranges from simulation, not placeholders</w:t>
            </w:r>
          </w:p>
        </w:tc>
        <w:tc>
          <w:tcPr>
            <w:tcW w:type="dxa" w:w="2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Nothing — start here</w:t>
            </w:r>
          </w:p>
        </w:tc>
      </w:tr>
      <w:tr>
        <w:tc>
          <w:tcPr>
            <w:tcW w:type="dxa" w:w="7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2</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Connect decision_layer net values to DecisionReasonCards</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Each Decision Card shows computed net value in USD</w:t>
            </w:r>
          </w:p>
        </w:tc>
        <w:tc>
          <w:tcPr>
            <w:tcW w:type="dxa" w:w="22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Step 1 (needs real simulation data)</w:t>
            </w:r>
          </w:p>
        </w:tc>
      </w:tr>
      <w:tr>
        <w:tc>
          <w:tcPr>
            <w:tcW w:type="dxa" w:w="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3</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Implement severity slider with live re-simulation (&lt;2s)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Drag slider from 0.3 to 0.9, all numbers update in &lt;2s</w:t>
            </w:r>
          </w:p>
        </w:tc>
        <w:tc>
          <w:tcPr>
            <w:tcW w:type="dxa" w:w="2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Steps 1–2 (needs data pipeline stable)</w:t>
            </w:r>
          </w:p>
        </w:tc>
      </w:tr>
      <w:tr>
        <w:tc>
          <w:tcPr>
            <w:tcW w:type="dxa" w:w="7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4</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Build PDF export of Executive Snapshot</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Click Export → PDF matches screen, opens in Preview/Acrobat</w:t>
            </w:r>
          </w:p>
        </w:tc>
        <w:tc>
          <w:tcPr>
            <w:tcW w:type="dxa" w:w="22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Steps 1–3 (export what’s on screen)</w:t>
            </w:r>
          </w:p>
        </w:tc>
      </w:tr>
      <w:tr>
        <w:tc>
          <w:tcPr>
            <w:tcW w:type="dxa" w:w="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5</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Add WhyMetricInline to all Level 1 metrics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Click any number → see formula + inputs + weights</w:t>
            </w:r>
          </w:p>
        </w:tc>
        <w:tc>
          <w:tcPr>
            <w:tcW w:type="dxa" w:w="2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Steps 1–2 (needs real metric data to explain)</w:t>
            </w:r>
          </w:p>
        </w:tc>
      </w:tr>
      <w:tr>
        <w:tc>
          <w:tcPr>
            <w:tcW w:type="dxa" w:w="7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6</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Display confidence scores with factor breakdown</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Each decision shows Conf score + 4 factor bars</w:t>
            </w:r>
          </w:p>
        </w:tc>
        <w:tc>
          <w:tcPr>
            <w:tcW w:type="dxa" w:w="22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Step 2 (needs decision actions to annotate)</w:t>
            </w:r>
          </w:p>
        </w:tc>
      </w:tr>
      <w:tr>
        <w:tc>
          <w:tcPr>
            <w:tcW w:type="dxa" w:w="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7</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Build audit trail export (SHA-256 signed JSON + PDF)</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Submit decision → download audit record → verify hash</w:t>
            </w:r>
          </w:p>
        </w:tc>
        <w:tc>
          <w:tcPr>
            <w:tcW w:type="dxa" w:w="2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Steps 2 + 6 (needs decisions + confidence)</w:t>
            </w:r>
          </w:p>
        </w:tc>
      </w:tr>
      <w:tr>
        <w:tc>
          <w:tcPr>
            <w:tcW w:type="dxa" w:w="7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8</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Add sector provenance annotations to SectorStressV2</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Each sector tab explains which propagation step drove its score</w:t>
            </w:r>
          </w:p>
        </w:tc>
        <w:tc>
          <w:tcPr>
            <w:tcW w:type="dxa" w:w="22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Step 1 (needs real propagation data)</w:t>
            </w:r>
          </w:p>
        </w:tc>
      </w:tr>
      <w:tr>
        <w:tc>
          <w:tcPr>
            <w:tcW w:type="dxa" w:w="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9</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Harden authentication: JWT + API key + role-based access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CRO login → sees all, CEO login → sees Level 1 only</w:t>
            </w:r>
          </w:p>
        </w:tc>
        <w:tc>
          <w:tcPr>
            <w:tcW w:type="dxa" w:w="2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Steps 1–8 (all features before auth lockdown)</w:t>
            </w:r>
          </w:p>
        </w:tc>
      </w:tr>
      <w:tr>
        <w:tc>
          <w:tcPr>
            <w:tcW w:type="dxa" w:w="7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10</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Implement multi-tenant data isolation</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Bank A cannot see Bank B’s simulation runs</w:t>
            </w:r>
          </w:p>
        </w:tc>
        <w:tc>
          <w:tcPr>
            <w:tcW w:type="dxa" w:w="22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Step 9 (needs auth before isolation)</w:t>
            </w:r>
          </w:p>
        </w:tc>
      </w:tr>
      <w:tr>
        <w:tc>
          <w:tcPr>
            <w:tcW w:type="dxa" w:w="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11</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Custom scenario parameters (sector weight adjustment)</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CRO overrides banking alpha from 0.20 to 0.25, re-runs</w:t>
            </w:r>
          </w:p>
        </w:tc>
        <w:tc>
          <w:tcPr>
            <w:tcW w:type="dxa" w:w="2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Steps 1–3 (needs stable simulation pipeline)</w:t>
            </w:r>
          </w:p>
        </w:tc>
      </w:tr>
      <w:tr>
        <w:tc>
          <w:tcPr>
            <w:tcW w:type="dxa" w:w="7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12</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Build pilot onboarding flow</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New CRO opens product → guided Hormuz walkthrough → first decision in 10 min</w:t>
            </w:r>
          </w:p>
        </w:tc>
        <w:tc>
          <w:tcPr>
            <w:tcW w:type="dxa" w:w="22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Steps 1–11 (onboard to a complete product)</w:t>
            </w:r>
          </w:p>
        </w:tc>
      </w:tr>
      <w:tr>
        <w:tc>
          <w:tcPr>
            <w:tcW w:type="dxa" w:w="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13</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Decision history dashboard</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CRO sees list of all past runs with decisions and timestamps</w:t>
            </w:r>
          </w:p>
        </w:tc>
        <w:tc>
          <w:tcPr>
            <w:tcW w:type="dxa" w:w="2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Steps 1–12 (needs history to display)</w:t>
            </w:r>
          </w:p>
        </w:tc>
      </w:tr>
      <w:tr>
        <w:tc>
          <w:tcPr>
            <w:tcW w:type="dxa" w:w="7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14</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Performance hardening to SLA (2s sim, 500ms UI, 99.5% up)</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Load test: 10 concurrent CROs, all metrics within SLA</w:t>
            </w:r>
          </w:p>
        </w:tc>
        <w:tc>
          <w:tcPr>
            <w:tcW w:type="dxa" w:w="22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Steps 1–13 (optimize the full path)</w:t>
            </w:r>
          </w:p>
        </w:tc>
      </w:tr>
      <w:tr>
        <w:tc>
          <w:tcPr>
            <w:tcW w:type="dxa" w:w="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bCs/>
                <w:color w:val="0B1D3A"/>
                <w:sz w:val="20"/>
                <w:szCs w:val="20"/>
              </w:rPr>
              <w:t xml:space="preserve">15</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Launch 3 pilot CROs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3 signed pilot agreements, 3 active accounts, first runs complete</w:t>
            </w:r>
          </w:p>
        </w:tc>
        <w:tc>
          <w:tcPr>
            <w:tcW w:type="dxa" w:w="2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after="40"/>
            </w:pPr>
            <w:r>
              <w:rPr>
                <w:rFonts w:ascii="Arial" w:cs="Arial" w:eastAsia="Arial" w:hAnsi="Arial"/>
                <w:b w:val="false"/>
                <w:bCs w:val="false"/>
                <w:color w:val="333333"/>
                <w:sz w:val="20"/>
                <w:szCs w:val="20"/>
              </w:rPr>
              <w:t xml:space="preserve">All steps (product must be complete)</w:t>
            </w:r>
          </w:p>
        </w:tc>
      </w:tr>
    </w:tbl>
    <w:p>
      <w:pPr>
        <w:spacing w:before="200"/>
      </w:pPr>
    </w:p>
    <w:p>
      <w:pPr>
        <w:pStyle w:val="Heading2"/>
        <w:spacing w:after="150" w:before="300"/>
      </w:pPr>
      <w:r>
        <w:rPr>
          <w:rFonts w:ascii="Arial" w:cs="Arial" w:eastAsia="Arial" w:hAnsi="Arial"/>
          <w:b/>
          <w:bCs/>
          <w:color w:val="00897B"/>
          <w:sz w:val="28"/>
          <w:szCs w:val="28"/>
        </w:rPr>
        <w:t xml:space="preserve">The Critical Path</w:t>
      </w:r>
    </w:p>
    <w:p>
      <w:pPr>
        <w:spacing w:after="160" w:line="276"/>
        <w:jc w:val="left"/>
      </w:pPr>
      <w:r>
        <w:rPr>
          <w:rFonts w:ascii="Arial" w:cs="Arial" w:eastAsia="Arial" w:hAnsi="Arial"/>
          <w:color w:val="333333"/>
          <w:sz w:val="22"/>
          <w:szCs w:val="22"/>
        </w:rPr>
        <w:t xml:space="preserve">Steps 1–4 are the demo path. If a potential pilot CRO sees the product after Step 4, they should be able to say "I understand what this does and I want to try it." Steps 5–8 are the trust path — they turn "I want to try it" into "I trust this enough to use it." Steps 9–11 are the enterprise path — they turn "I trust it" into "my IT team approves it." Steps 12–15 are the launch path — they turn approval into a running pilot.</w:t>
      </w:r>
    </w:p>
    <w:p>
      <w:pPr>
        <w:pBdr>
          <w:left w:val="single" w:color="C62828" w:sz="14" w:space="10"/>
        </w:pBdr>
        <w:spacing w:after="200" w:before="160"/>
        <w:ind w:left="500"/>
      </w:pPr>
      <w:r>
        <w:rPr>
          <w:rFonts w:ascii="Arial" w:cs="Arial" w:eastAsia="Arial" w:hAnsi="Arial"/>
          <w:b/>
          <w:bCs/>
          <w:i/>
          <w:iCs/>
          <w:color w:val="C62828"/>
          <w:sz w:val="26"/>
          <w:szCs w:val="26"/>
        </w:rPr>
        <w:t xml:space="preserve">If Step 4 does not produce a PDF that makes a CRO say "I need this," nothing after Step 4 matters. The entire plan collapses to: make the first 4 steps perfect.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Deevo Analytics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Impact Observatory  |  Product Prioritization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1D3A"/>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0089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2026-04-10T20:34:11.279Z</dcterms:created>
  <dcterms:modified xsi:type="dcterms:W3CDTF">2026-04-10T20:34:11.279Z</dcterms:modified>
</cp:coreProperties>
</file>

<file path=docProps/custom.xml><?xml version="1.0" encoding="utf-8"?>
<Properties xmlns="http://schemas.openxmlformats.org/officeDocument/2006/custom-properties" xmlns:vt="http://schemas.openxmlformats.org/officeDocument/2006/docPropsVTypes"/>
</file>