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sectPr>
          <w:pgSz w:w="11906" w:h="16838"/>
          <w:pgMar w:top="290" w:right="504" w:bottom="150" w:left="55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93900" cy="39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9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664" w:space="0"/>
            <w:col w:w="51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9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85900" cy="49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20"/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664" w:space="0"/>
            <w:col w:w="51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48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0" w:right="42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74800" cy="21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exact" w:before="474" w:after="246"/>
        <w:ind w:left="0" w:right="0" w:firstLine="0"/>
        <w:jc w:val="center"/>
      </w:pPr>
      <w:r>
        <w:rPr>
          <w:rFonts w:ascii="HelveticaLTStd" w:hAnsi="HelveticaLTStd" w:eastAsia="HelveticaLTStd"/>
          <w:b/>
          <w:i w:val="0"/>
          <w:color w:val="231F20"/>
          <w:sz w:val="28"/>
        </w:rPr>
        <w:t>REGOLAMENTO DI GIOCO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776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>OGGETTO, DEFINIZIONI E DISPOSIZIONI GENERALI</w:t>
      </w:r>
    </w:p>
    <w:p>
      <w:pPr>
        <w:autoSpaceDN w:val="0"/>
        <w:autoSpaceDE w:val="0"/>
        <w:widowControl/>
        <w:spacing w:line="180" w:lineRule="exact" w:before="360" w:after="0"/>
        <w:ind w:left="0" w:right="144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1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Oggetto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1. Il presente decreto disciplina l’organizzazione, l’esercizio e la gestione dell’e­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strazione speciale del SuperEnalotto denominata SiVinceTutto SuperEnalotto.</w:t>
      </w:r>
    </w:p>
    <w:p>
      <w:pPr>
        <w:autoSpaceDN w:val="0"/>
        <w:autoSpaceDE w:val="0"/>
        <w:widowControl/>
        <w:spacing w:line="180" w:lineRule="exact" w:before="360" w:after="0"/>
        <w:ind w:left="0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2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Definizioni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Ai fini del presente decreto, si intende per: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Agenzia, l’Agenzia delle dogane e dei monopoli;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calendario, l’insieme dei concorsi pianificati in un anno;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categorie di premi, le varie tipologie di premi del SiVinceTutto SuperEnalotto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previste dal presente decreto;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combinazione di gioco, i dodici numeri pronosticati e giocati dal giocatore;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e) combinazione vincente del SiVinceTutto SuperEnalotto, i sei numeri interi tra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1 e 90 inclusi, estratti casualmente in occasione di uno specifico concorso attra­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verso il sistema estrazionale;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2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bb) rete di vendita, l’insieme dei punti di vendita fisici e dei punti di vendita 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distanza contrattualizzati dal Concessionario, rispetto ai quali quest’ultimo ha gli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obblighi di controllo, di vigilanza e di informazione verso l’Agenzia, previsti dalla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concessione per la gestione e lo sviluppo dei GNTN;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cc) ricevuta di gioco, l’attestazione cartacea della giocata, limitatamente ai punti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vendita fisici, che legittima la riscossione della vincita;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dd) sistema, il sistema informatico, composto da hardware e software, del Con­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cessionario che gestisce e garantisce il funzionamento del gioco, ivi compresa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la casualità delle estrazioni;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ee) sito del Concessionario, il sito o i siti internet che il Concessionario utilizza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per la promozione dei prodotti GNTN e per la diffusione al pubblico delle infor­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mazioni relative al gioco;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ff) terminale di gioco, l’apparecchiatura elettronica, parte integrante del sistema,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che consente l’accettazione del gioco presso il punto di vendita fisico e la stampa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delle ricevute di gioco da restituire ai giocatori;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gg) vendita a distanza, l’offerta online di GNTN effettuata dal Concessionario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ovvero da altri concessionari di giochi autorizzati ai sensi dell’articolo 24, comma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11 e seguenti, della legge 7 luglio 2009, n. 88;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hh) vincita, l’importo totale, comprensivo di una o più quote, a cui il giocatore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ha diritto a seguito del conseguimento, con una stessa giocata, di una o più </w:t>
      </w:r>
    </w:p>
    <w:p>
      <w:pPr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tabs>
          <w:tab w:pos="5516" w:val="left"/>
        </w:tabs>
        <w:autoSpaceDE w:val="0"/>
        <w:widowControl/>
        <w:spacing w:line="174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f) concorso, tutte le attività utili allo svolgimento del gioco nel periodo che inter­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categorie di premi.</w:t>
      </w:r>
    </w:p>
    <w:p>
      <w:pPr>
        <w:autoSpaceDN w:val="0"/>
        <w:autoSpaceDE w:val="0"/>
        <w:widowControl/>
        <w:spacing w:line="174" w:lineRule="exact" w:before="2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corre tra la sua apertura e la sua chiusura;</w:t>
      </w:r>
    </w:p>
    <w:p>
      <w:pPr>
        <w:autoSpaceDN w:val="0"/>
        <w:autoSpaceDE w:val="0"/>
        <w:widowControl/>
        <w:spacing w:line="174" w:lineRule="exact" w:before="6" w:after="6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g) estremi di convalida, l’insieme delle informazioni riportate nelle ricevute di 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gioco che identifica una giocata convalidata, costituito dalle indicazioni di anno,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numero del concorso, codice identificativo del punto di vendita fisico, codice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identificativo del terminale di gioco e numero progressivo attribuito alla giocata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dal sistema;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h) generatore automatizzato di numeri casuali, la componente del sistema del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Concessionario che assegna casualmente uno o più numeri a ciascuna giocata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per comporre la combinazione di gioco;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i) giocata, la singola combinazione o l’insieme di combinazioni di gioco convali­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date e riportate nella ricevuta di gioco;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l) giocata a caratura, la suddivisione di una giocata sistemistica in quote di ugua­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le valore che possono essere acquistate separatamente come cedole di cara­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tura, soggetta alla disciplina prevista dal decreto direttoriale recante misure per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la regolamentazione delle giocate a caratura ordinaria e delle giocate a caratura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speciale relative ai GNTN;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m) giocata a distanza la giocata effettuata in conformità alle disposizioni di attua­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zione dell’articolo 24, comma 14, della legge 7 luglio 2009, n. 88;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n) giocata in abbonamento, la giocata effettuata impartendo disposizioni di gio­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 valevoli per un numero predeterminato di concorsi futuri e immediatamente 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>DISPOSIZIONI DEL SIVINCETUTTO SUPERENALOTTO</w:t>
      </w:r>
    </w:p>
    <w:p>
      <w:pPr>
        <w:autoSpaceDN w:val="0"/>
        <w:autoSpaceDE w:val="0"/>
        <w:widowControl/>
        <w:spacing w:line="180" w:lineRule="exact" w:before="360" w:after="0"/>
        <w:ind w:left="104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3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Estrazione dei numeri vincenti e categorie di premi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Il SiVinceTutto SuperEnalotto consiste nel pronosticare, indipendentemente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dalla sequenza, i sei numeri che costituiscono la combinazione vincente, estratti,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in ciascun concorso, tra una serie di numeri interi compresa tra 1 e 90 inclusi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senza riutilizzazione dei numeri estratti. Il sistema del Concessionario assicura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la non prevedibilità di ciascuna estrazione e la medesima probabilità di estrazio­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ne per ciascuna combinazione vincente.</w:t>
      </w:r>
    </w:p>
    <w:p>
      <w:pPr>
        <w:autoSpaceDN w:val="0"/>
        <w:autoSpaceDE w:val="0"/>
        <w:widowControl/>
        <w:spacing w:line="180" w:lineRule="exact" w:before="0" w:after="0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L’estrazione è prevista ordinariamente con cadenza settimanale, secondo il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calendario proposto dal Concessionario e approvato dall’Agenzia.</w:t>
      </w:r>
    </w:p>
    <w:p>
      <w:pPr>
        <w:autoSpaceDN w:val="0"/>
        <w:autoSpaceDE w:val="0"/>
        <w:widowControl/>
        <w:spacing w:line="180" w:lineRule="exact" w:before="0" w:after="2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3. Per ogni pronostico indovinato, relativo ai sei numeri estratti costituenti la com­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binazione vincente, si consegue un punto. Le categorie di premi sono 5: di prima,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seconda, di terza, di quarta e di quinta categoria, rispettivamente con “punti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6”, “punti 5”, “punti 4”, “punti 3” e “punti 2”, per le quali risultano esatti i pronostici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relativi ai 6, 5, 4, 3 e 2 numeri costituenti la combinazione vincente.</w:t>
      </w:r>
    </w:p>
    <w:p>
      <w:pPr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tabs>
          <w:tab w:pos="5516" w:val="left"/>
        </w:tabs>
        <w:autoSpaceDE w:val="0"/>
        <w:widowControl/>
        <w:spacing w:line="174" w:lineRule="exact" w:before="0" w:after="2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consecutivi fra loro;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4. Le probabilità di vincita delle categorie di premi sono: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o) giocata sistemistica, la modalità che sviluppa una pluralità di combinazioni di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gioco, nel limite massimo di 27.132 combinazioni;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p) giocata su prenotazione, la giocata effettuata impartendo disposizioni di gioco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valevoli per un numero predeterminato di concorsi futuri e anche non consecutivi;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q) GNTN, i giochi numerici a totalizzatore nazionale basati sulla scelta di numeri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da parte dei giocatori all’atto della giocata, ovvero sull’attribuzione alla giocata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medesima di numeri determinati casualmente, per i quali una quota predetermi­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nata delle poste di gioco è conferita a un unico montepremi, avente una base di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raccolta di ampiezza non inferiore a quella nazionale e che prevedono, altresì,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la ripartizione in parti uguali del montepremi tra le giocate vincenti appartenenti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alla medesima categoria di premi;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r) montepremi, la quota parte della raccolta destinata alle vincite;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s) montepremi di categoria, la parte di montepremi dedicata a ciascuna catego­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ria di premi;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t) posta di gioco, il costo di ciascuna combinazione di gioco;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u) prospetto informativo delle vincite, l’elenco di tutte le vincite del SiVinceTutto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04" w:right="144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1 su 673.825 per la vincita di prima categoria corrispondente a “punti 6”;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1 su 10.079 per la vincita di seconda categoria corrispondente a “punti 5”;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1 su 419 per la vincita di terza categoria corrispondente a “punti 4”;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1 su 37 per la vincita di quarta categoria corrispondente a “punti 3”;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e) 1 su 7 per la vincita di quinta categoria corrispondente a “punti 2”.</w:t>
      </w:r>
    </w:p>
    <w:p>
      <w:pPr>
        <w:autoSpaceDN w:val="0"/>
        <w:autoSpaceDE w:val="0"/>
        <w:widowControl/>
        <w:spacing w:line="180" w:lineRule="exact" w:before="0" w:after="0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5. Nei casi di forza maggiore che non rendano possibile l’estrazione relativa 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un concorso, entro il giorno successivo a quello nel quale doveva essere origi­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nariamente effettuata, l’Agenzia procede al suo annullamento. Il Concessionario,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in tali casi, fornisce ogni utile informazione ai giocatori e rimborsa integralmente,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anche tramite la rete di vendita, le giocate effettuate su presentazione delle rice­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vute di gioco entro 90 giorni dall’annullamento.</w:t>
      </w:r>
    </w:p>
    <w:p>
      <w:pPr>
        <w:autoSpaceDN w:val="0"/>
        <w:autoSpaceDE w:val="0"/>
        <w:widowControl/>
        <w:spacing w:line="178" w:lineRule="exact" w:before="364" w:after="2"/>
        <w:ind w:left="104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4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Posta di gioco, combinazione di gioco, montepremi e vincite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1. La posta di gioco è di euro 5,00. La giocata minima equivale a una combina­</w:t>
      </w:r>
    </w:p>
    <w:p>
      <w:pPr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tabs>
          <w:tab w:pos="5516" w:val="left"/>
        </w:tabs>
        <w:autoSpaceDE w:val="0"/>
        <w:widowControl/>
        <w:spacing w:line="174" w:lineRule="exact" w:before="0" w:after="2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SuperEnalotto realizzate nel concorso di riferimento pubblicato sul sito del Con­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zione di gioco.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cessionario contestualmente al Bollettino ufficiale;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v) punto di vendita fisico, il singolo esercizio pubblico abilitato alla raccolta dei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GNTN di cui all’articolo 1, comma 90, della legge 27 dicembre 2006, n. 296,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identificato con un codice numerico univoco a livello nazionale, attribuito dal 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2. La combinazione di gioco è costituita da dodici numeri di cui il giocatore pro­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nostica l’estrazione indipendentemente dalla loro sequenza.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3. Il montepremi è costituito dal 60 per cento della raccolta.</w:t>
      </w:r>
    </w:p>
    <w:p>
      <w:pPr>
        <w:autoSpaceDN w:val="0"/>
        <w:autoSpaceDE w:val="0"/>
        <w:widowControl/>
        <w:spacing w:line="172" w:lineRule="exact" w:before="8" w:after="2"/>
        <w:ind w:left="104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4. Il montepremi è ripartito nelle seguenti percentuali:</w:t>
      </w:r>
    </w:p>
    <w:p>
      <w:pPr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411" w:space="0"/>
            <w:col w:w="5434" w:space="0"/>
          </w:cols>
          <w:docGrid w:linePitch="360"/>
        </w:sectPr>
      </w:pPr>
    </w:p>
    <w:p>
      <w:pPr>
        <w:autoSpaceDN w:val="0"/>
        <w:tabs>
          <w:tab w:pos="5516" w:val="left"/>
        </w:tabs>
        <w:autoSpaceDE w:val="0"/>
        <w:widowControl/>
        <w:spacing w:line="174" w:lineRule="exact" w:before="0" w:after="2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Concessionario;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a) il 32,20 per cento del montepremi alle vincite di prima categoria;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z) quota, l’importo ottenuto dividendo il montepremi di una categoria di premi per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il numero di combinazioni di gioco vincenti in tale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aa) raccolta, l’ammontare complessivo degli importi delle giocate;</w:t>
      </w:r>
    </w:p>
    <w:p>
      <w:pPr>
        <w:sectPr>
          <w:type w:val="continuous"/>
          <w:pgSz w:w="11906" w:h="16838"/>
          <w:pgMar w:top="290" w:right="504" w:bottom="150" w:left="556" w:header="720" w:footer="720" w:gutter="0"/>
          <w:cols w:num="2" w:equalWidth="0">
            <w:col w:w="5330" w:space="0"/>
            <w:col w:w="5516" w:space="0"/>
          </w:cols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22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6"/>
        </w:rPr>
        <w:t>1</w:t>
      </w:r>
    </w:p>
    <w:p>
      <w:pPr>
        <w:sectPr>
          <w:type w:val="nextColumn"/>
          <w:pgSz w:w="11906" w:h="16838"/>
          <w:pgMar w:top="290" w:right="504" w:bottom="150" w:left="556" w:header="720" w:footer="720" w:gutter="0"/>
          <w:cols w:num="2" w:equalWidth="0">
            <w:col w:w="5330" w:space="0"/>
            <w:col w:w="55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</w:p>
    <w:p>
      <w:pPr>
        <w:sectPr>
          <w:pgSz w:w="11906" w:h="16838"/>
          <w:pgMar w:top="266" w:right="506" w:bottom="150" w:left="566" w:header="720" w:footer="720" w:gutter="0"/>
          <w:cols w:num="2" w:equalWidth="0">
            <w:col w:w="5330" w:space="0"/>
            <w:col w:w="5516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e) il 25,20 per cento del montepremi alle vincite di quinta categoria.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5. Per ciascun concorso, in mancanza di vincite di prima categoria, il montepremi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è ripartito nelle seguenti percentuali: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il 3,40 per cento del montepremi alle vincite di seconda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l’8,20 per cento del montepremi alle vincite di terza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il 36,50 per cento del montepremi alle vincite di quarta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d) il 51,90 per cento del montepremi alle vincite di quinta categoria.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6. Per ciascun concorso, in mancanza di vincite di prima categoria e di seconda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categoria, il montepremi è ripartito nelle seguenti percentuali: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il 10,00 per cento del montepremi alle vincite di terza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il 37,00 per cento del montepremi alle vincite di quarta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c) il 53,00 per cento del montepremi alle vincite di quinta categoria.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7. Per ciascun concorso in mancanza di vincite di prima, di seconda e di terza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categoria, il montepremi è ripartito nelle seguenti percentuali: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il 47,00 per cento del montepremi alle vincite di quarta categoria;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b) il 53,00 per cento del montepremi alle vincite di quinta categoria.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Il sistema consente, in ogni caso, al giocatore la stampa dei dati della giocata.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4. Se il giocatore, al momento del ritiro della ricevuta di gioco, riscontra difformità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tra i dati su essa riportati e quelli della propria disposizione di gioco, comunque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manifestata, può chiederne l’annullamento che è efficace, nei riguardi del gioca­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tore, solo all’atto della restituzione della ricevuta di gioco. L’annullamento della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giocata avviene previa autorizzazione del Concessionario.</w:t>
      </w: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In ogni caso, l’annullamento della giocata non è consentito dopo la chiusura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dell’accettazione delle giocate stesse.</w:t>
      </w: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5. Il Concessionario, previa approvazione dell’Agenzia, adotta i modelli delle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schede e delle ricevute di partecipazione al gioco e delle relative ricevute, non­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ché le istruzioni per la loro compilazione.</w:t>
      </w:r>
    </w:p>
    <w:p>
      <w:pPr>
        <w:autoSpaceDN w:val="0"/>
        <w:autoSpaceDE w:val="0"/>
        <w:widowControl/>
        <w:spacing w:line="180" w:lineRule="exact" w:before="0" w:after="0"/>
        <w:ind w:left="98" w:right="20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6. I modelli devono riportare, tenuto conto delle loro dimensioni, le informazioni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previste dal decreto legge 13 ottobre 2012, n. 158, convertito con modificazioni,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dalla legge 8 novembre 2012, n. 189.</w:t>
      </w:r>
    </w:p>
    <w:p>
      <w:pPr>
        <w:autoSpaceDN w:val="0"/>
        <w:autoSpaceDE w:val="0"/>
        <w:widowControl/>
        <w:spacing w:line="180" w:lineRule="exact" w:before="0" w:after="6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7. Copia del presente provvedimento è pubblicata sul sito del Concessionario, il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quale è, altresì, responsabile della sua esposizione al pubblico presso i punti di 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tabs>
          <w:tab w:pos="5506" w:val="left"/>
        </w:tabs>
        <w:autoSpaceDE w:val="0"/>
        <w:widowControl/>
        <w:spacing w:line="178" w:lineRule="exact" w:before="0" w:after="6"/>
        <w:ind w:left="0" w:right="475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8. Per ciascun concorso, in mancanza di vincite di prima, di seconda, di terza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vendita.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 di quarta categoria, i relativi montepremi saranno attribuiti al montepremi di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quinta categoria.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100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9. Fermo quanto previsto ai commi 4, 5, 6, 7 e 8, qualora in un determinato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concorso non si realizza alcuna vincita, l’intero montepremi è suddiviso tra tutti 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partecipanti, in base al numero delle combinazioni giocate.</w:t>
      </w:r>
    </w:p>
    <w:p>
      <w:pPr>
        <w:autoSpaceDN w:val="0"/>
        <w:autoSpaceDE w:val="0"/>
        <w:widowControl/>
        <w:spacing w:line="180" w:lineRule="exact" w:before="0" w:after="0"/>
        <w:ind w:left="0" w:right="100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10. Fermo quanto previsto ai commi 4, 5, 6, 7 e 8, nel caso in cui non sono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presenti vincenti in una categoria, ma ne risultano in una categoria superiore,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il montepremi della categoria in cui non risultano vincenti è suddiviso in parti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uguali tra tutte le categorie con combinazioni vincenti.</w:t>
      </w:r>
    </w:p>
    <w:p>
      <w:pPr>
        <w:autoSpaceDN w:val="0"/>
        <w:autoSpaceDE w:val="0"/>
        <w:widowControl/>
        <w:spacing w:line="180" w:lineRule="exact" w:before="0" w:after="0"/>
        <w:ind w:left="0" w:right="100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11. In caso di una pluralità di vincitori nell’ambito di una medesima categoria di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premi tra quelle previste all’articolo 3, comma 3, il montepremi di categoria del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singolo concorso, derivante dalla applicazione delle percentuali di cui ai commi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4, 5, 6, 7 e 8, è suddiviso in parti uguali tra i vincitori stessi.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12.In nessun caso la quota di una categoria di premi può essere minore della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quota di una categoria di premi inferiore. Se la quota di una categoria di premi è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minore di quella di una categoria di premi inferiore, si procede alla fusione delle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due categorie e dei relativi montepremi. Nel caso in cui la quota risultante dalla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fusione di più categorie risulti maggiore di quella di una categoria di premi supe­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riore, le categorie interessate sono fuse tra loro.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13. Fermo quanto previsto dal comma 12, se la quota relativa alla quinta cate­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goria è inferiore a euro 5,00, il montepremi relativo a tale categoria è integrato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attingendo la necessaria dotazione dalla categoria di premi con punteggio più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elevato in cui siano state conseguite vincite.</w:t>
      </w:r>
    </w:p>
    <w:p>
      <w:pPr>
        <w:autoSpaceDN w:val="0"/>
        <w:autoSpaceDE w:val="0"/>
        <w:widowControl/>
        <w:spacing w:line="180" w:lineRule="exact" w:before="360" w:after="0"/>
        <w:ind w:left="1152" w:right="1296" w:firstLine="0"/>
        <w:jc w:val="center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MODALITÀ OPERATIVE </w:t>
      </w:r>
      <w:r>
        <w:br/>
      </w:r>
      <w:r>
        <w:rPr>
          <w:rFonts w:ascii="HelveticaLTStd" w:hAnsi="HelveticaLTStd" w:eastAsia="HelveticaLTStd"/>
          <w:b/>
          <w:i w:val="0"/>
          <w:color w:val="231F20"/>
          <w:sz w:val="15"/>
        </w:rPr>
        <w:t>DEL SIVINCETUTTO SUPERENALOTTO</w:t>
      </w:r>
    </w:p>
    <w:p>
      <w:pPr>
        <w:autoSpaceDN w:val="0"/>
        <w:autoSpaceDE w:val="0"/>
        <w:widowControl/>
        <w:spacing w:line="180" w:lineRule="exact" w:before="360" w:after="0"/>
        <w:ind w:left="0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5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Modalità di gioco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Presso i punti di vendita fisici, il giocatore compila schede di partecipazione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ovvero utilizza schede di partecipazione precompilate o già convalidate. Può,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altresì, impartire disposizioni di gioco a voce all’operatore addetto al terminale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gioco, oppure affidarsi alla scelta casuale dei numeri da parte del generatore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automatizzato di numeri casuali, nonché utilizzare dispositivi informatici ovvero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dispositivi mobili collegati al terminale di gioco, rivolgendosi all’operatore addetto 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7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Giocate sistemistiche e a caratura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Fermo quanto previsto dal decreto direttoriale di regolamentazione delle giocate 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caratura ordinaria e delle giocate a caratura speciale, il costo minimo di ogni cedola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caratura è di euro 5,00. Le giocate a caratura, una volta effettuate e convalidate,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non sono in alcun caso annullabili.</w:t>
      </w:r>
    </w:p>
    <w:p>
      <w:pPr>
        <w:autoSpaceDN w:val="0"/>
        <w:autoSpaceDE w:val="0"/>
        <w:widowControl/>
        <w:spacing w:line="180" w:lineRule="exact" w:before="0" w:after="0"/>
        <w:ind w:left="98" w:right="20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Gli importi delle eventuali vincite conseguite con le cedole di giocate a caratura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speciale non vendute al momento della chiusura del concorso di riferimento sono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destinati a organizzazioni benefiche senza fini di lucro scelte dal Concessionario 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dallo stesso comunicate all’Agenzia.</w:t>
      </w:r>
    </w:p>
    <w:p>
      <w:pPr>
        <w:autoSpaceDN w:val="0"/>
        <w:autoSpaceDE w:val="0"/>
        <w:widowControl/>
        <w:spacing w:line="180" w:lineRule="exact" w:before="360" w:after="0"/>
        <w:ind w:left="98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8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Commissioni di controllo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Il controllo sulla regolarità delle operazioni di estrazione è esercitato dalla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Commissione di controllo delle estrazioni.</w:t>
      </w: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Il controllo sulla regolarità delle operazioni di determinazione delle vincite è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esercitato dalla minazione delle giocate vincenti e di controllo del gioco.</w:t>
      </w: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3. Ciascuna Commissione è composta da un dirigente dell’Agenzia, con funzioni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presidente e da dipendenti di uffici centrali dell’Agenzia, di cui uno di Area III 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uno di Area II o Area I quest’ultimo anche con funzioni di segretario. La Commis­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sione è regolarmente costituita con la presenza di almeno due membri. In caso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impedimento del Presidente o del segretario, le rispettive funzioni sono svolte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dal componente appartenente all’Area III.</w:t>
      </w:r>
    </w:p>
    <w:p>
      <w:pPr>
        <w:autoSpaceDN w:val="0"/>
        <w:autoSpaceDE w:val="0"/>
        <w:widowControl/>
        <w:spacing w:line="180" w:lineRule="exact" w:before="0" w:after="0"/>
        <w:ind w:left="98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4. Le Commissioni operano secondo le disposizioni di cui all’Allegato 1 del pre­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sente decreto, di cui lo stesso costituisce parte integrante.</w:t>
      </w:r>
    </w:p>
    <w:p>
      <w:pPr>
        <w:autoSpaceDN w:val="0"/>
        <w:autoSpaceDE w:val="0"/>
        <w:widowControl/>
        <w:spacing w:line="180" w:lineRule="exact" w:before="360" w:after="6"/>
        <w:ind w:left="98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9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Bollettino ufficiale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Entro il giorno successivo alle operazioni di spoglio del concorso, è pubblicato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sul sito del Concessionario, il Bollettino ufficiale che il Concessionario redige 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che contiene i dati riportati nel prospetto riepilogativo approvato dalla Commis­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sione di determinazione delle giocate vincenti e di controllo del gioco al termine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delle operazioni di spoglio. Il Bollettino ufficiale riporta: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tabs>
          <w:tab w:pos="5506" w:val="left"/>
        </w:tabs>
        <w:autoSpaceDE w:val="0"/>
        <w:widowControl/>
        <w:spacing w:line="178" w:lineRule="exact" w:before="0" w:after="2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al terminale di gioco per la successiva convalida.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la combinazione vincente;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In caso di gioco a distanza, il giocatore vi partecipa secondo le disposizioni di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l’ammontare del montepremi;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attuazione dell’articolo 24, comma 19, legge n. 88 del 2009.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il numero delle giocate vincenti per ciascuna categoria di premi e il relativo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3. Sono consentite giocate in abbonamento e su prenotazione.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importo; </w:t>
      </w:r>
      <w:r>
        <w:br/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gli estremi identificativi delle ricevute di gioco relative alle giocate vincenti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relative alle sole vincite di prima e seconda categoria;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6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Ricevuta di gioco, schede di partecipazione e pubblicità alla disciplina del gioco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In caso di giocata effettuata in una delle modalità di cui all’articolo 5, comma 1,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il terminale di gioco, ottenuta la conferma della registrazione della giocata presso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il sistema del Concessionario, emette la ricevuta di gioco che viene consegnata 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10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e) la data di redazione del Bollettino stesso.</w:t>
      </w:r>
    </w:p>
    <w:p>
      <w:pPr>
        <w:autoSpaceDN w:val="0"/>
        <w:autoSpaceDE w:val="0"/>
        <w:widowControl/>
        <w:spacing w:line="180" w:lineRule="exact" w:before="0" w:after="362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Il Concessionario, contestualmente alla pubblicazione del Bollettino ufficiale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sul sito, invia lo stesso a ciascun punto di vendita fisico che lo espone al pubblico.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tabs>
          <w:tab w:pos="6658" w:val="left"/>
        </w:tabs>
        <w:autoSpaceDE w:val="0"/>
        <w:widowControl/>
        <w:spacing w:line="180" w:lineRule="exact" w:before="0" w:after="6"/>
        <w:ind w:left="0" w:right="115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al giocatore. </w:t>
      </w:r>
      <w:r>
        <w:tab/>
      </w: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PAGAMENTO DELLE VINCITE E RECLAMI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L’originale della ricevuta di gioco costituisce l’unico titolo di 3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legittimazione per la riscossione delle vincite e riporta i seguenti dati: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576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le combinazioni di gioco oggetto del pronostico;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i codici controllo;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il numero che contraddistingue il concorso speciale;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la data di estrazione alla quale il concorso speciale si riferisce;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e) il codice identificativo del punto di vendita;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f) il codice identificativo del terminale di gioco;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4906" w:space="0"/>
            <w:col w:w="592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6"/>
        <w:ind w:left="600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10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Pagamento delle vincite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Il pagamento delle vincite è di esclusiva responsabilità del Concessionario,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indipendentemente dal soggetto che materialmente lo effettua. Il Concessionario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provvede ai pagamenti solo dopo le operazioni di certificazione delle quote da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parte della Commissione di determinazione delle giocate vincenti e di controllo 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4906" w:space="0"/>
            <w:col w:w="5928" w:space="0"/>
          </w:cols>
          <w:docGrid w:linePitch="360"/>
        </w:sectPr>
      </w:pPr>
    </w:p>
    <w:p>
      <w:pPr>
        <w:autoSpaceDN w:val="0"/>
        <w:tabs>
          <w:tab w:pos="5506" w:val="left"/>
        </w:tabs>
        <w:autoSpaceDE w:val="0"/>
        <w:widowControl/>
        <w:spacing w:line="174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g) il numero di combinazioni giocate e il relativo costo;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del gioco.</w:t>
      </w:r>
    </w:p>
    <w:p>
      <w:pPr>
        <w:autoSpaceDN w:val="0"/>
        <w:tabs>
          <w:tab w:pos="5506" w:val="left"/>
        </w:tabs>
        <w:autoSpaceDE w:val="0"/>
        <w:widowControl/>
        <w:spacing w:line="174" w:lineRule="exact" w:before="6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h) il numero progressivo della giocata;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2. Per le giocate effettuate tramite la rete dei punti di vendita fisici, l’originale della </w:t>
      </w:r>
    </w:p>
    <w:p>
      <w:pPr>
        <w:autoSpaceDN w:val="0"/>
        <w:tabs>
          <w:tab w:pos="5506" w:val="left"/>
        </w:tabs>
        <w:autoSpaceDE w:val="0"/>
        <w:widowControl/>
        <w:spacing w:line="174" w:lineRule="exact" w:before="6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i) la data e l’ora di accettazione della giocata;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ricevuta di gioco, consegnata integra in ogni sua parte, costituisce l’unico titolo di </w:t>
      </w:r>
    </w:p>
    <w:p>
      <w:pPr>
        <w:autoSpaceDN w:val="0"/>
        <w:tabs>
          <w:tab w:pos="5506" w:val="left"/>
        </w:tabs>
        <w:autoSpaceDE w:val="0"/>
        <w:widowControl/>
        <w:spacing w:line="174" w:lineRule="exact" w:before="6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l) il logo del gioco;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legittimazione valido per la riscossione delle vincite, previa verifica da parte del </w:t>
      </w:r>
    </w:p>
    <w:p>
      <w:pPr>
        <w:autoSpaceDN w:val="0"/>
        <w:tabs>
          <w:tab w:pos="5506" w:val="left"/>
        </w:tabs>
        <w:autoSpaceDE w:val="0"/>
        <w:widowControl/>
        <w:spacing w:line="174" w:lineRule="exact" w:before="6" w:after="6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m) il logo dell’Agenzia;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soggetto al quale viene presentata. La riscossione si effettua presso: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n) la denominazione e il logo del Concessionario;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o) in caso di giocata a caratura, oltre ai dati di cui alle lettere da a) a n), anche il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numero identificativo della cedola, il numero totale delle cedole di caratura di cui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si compone la giocata, l’importo complessivo della giocata a caratura, l’importo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della singola cedola a caratura.</w:t>
      </w:r>
    </w:p>
    <w:p>
      <w:pPr>
        <w:autoSpaceDN w:val="0"/>
        <w:autoSpaceDE w:val="0"/>
        <w:widowControl/>
        <w:spacing w:line="174" w:lineRule="exact" w:before="6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3. La registrazione della giocata a distanza nel sistema sostituisce a tutti gli effetti 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6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a) gli Uffici premi del Concessionario, per qualsiasi importo di vincita, che prov­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vedono al pagamento con assegno bancario di conto corrente o circolare non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trasferibili o bonifici bancari. Nei casi in cui l’importo della vincita è inferiore 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euro 1.000.000,00, il pagamento avviene entro 30 giorni solari dalla consegna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della ricevuta. Per le vincite superiori a euro 1.000.000,00, il Concessionario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provvede entro 91 giorni solari dal giorno successivo alla pubblicazione del Bol­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8" w:space="0"/>
            <w:col w:w="5426" w:space="0"/>
          </w:cols>
          <w:docGrid w:linePitch="360"/>
        </w:sectPr>
      </w:pPr>
    </w:p>
    <w:p>
      <w:pPr>
        <w:autoSpaceDN w:val="0"/>
        <w:tabs>
          <w:tab w:pos="5506" w:val="left"/>
        </w:tabs>
        <w:autoSpaceDE w:val="0"/>
        <w:widowControl/>
        <w:spacing w:line="174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la ricevuta di gioco.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lettino ufficiale;</w:t>
      </w:r>
    </w:p>
    <w:p>
      <w:pPr>
        <w:autoSpaceDN w:val="0"/>
        <w:autoSpaceDE w:val="0"/>
        <w:widowControl/>
        <w:spacing w:line="174" w:lineRule="exact" w:before="6" w:after="0"/>
        <w:ind w:left="0" w:right="20" w:firstLine="0"/>
        <w:jc w:val="righ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qualsiasi punto di vendita del Concessionario, nei casi in cui l’importo della </w:t>
      </w:r>
    </w:p>
    <w:p>
      <w:pPr>
        <w:autoSpaceDN w:val="0"/>
        <w:autoSpaceDE w:val="0"/>
        <w:widowControl/>
        <w:spacing w:line="186" w:lineRule="exact" w:before="162" w:after="0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6"/>
        </w:rPr>
        <w:t>2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</w:p>
    <w:p>
      <w:pPr>
        <w:sectPr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vincita sia inferiore o uguale al valore di euro 520,00, che provvede al pagamento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in contanti o con assegno bancario di conto corrente;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c) il punto di vendita nel quale è stata effettuata la giocata e nei punti di paga­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mento appositamente abilitati dal Concessionario, nei casi in cui l’importo della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vincita sia compreso tra euro 520,01 e euro 5.200,00, che provvedono al pa­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6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2. La pubblicazione del presente decreto sul sito internet dell’Agenzia tiene luo­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go della pubblicazione nella Gazzetta ufficiale della Repubblica italiana ai sensi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dell’articolo 1, comma 361, della legge 24 dicembre 2007, n. 244. La data di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decorrenza dell’applicazione delle disposizioni del presente decreto, successiva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alla sua pubblicazione, è quella del primo concorso indicato sul sito di cui al 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tabs>
          <w:tab w:pos="5506" w:val="left"/>
        </w:tabs>
        <w:autoSpaceDE w:val="0"/>
        <w:widowControl/>
        <w:spacing w:line="178" w:lineRule="exact" w:before="0" w:after="6"/>
        <w:ind w:left="0" w:right="432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gamento in contanti o con assegno bancario di conto corrente o circolare non 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primo periodo.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trasferibili (fatti salvi i limiti, all’utilizzo del contante, previsti dal D.lgs n.124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2019 che stabilisce l’importo di euro 1.999,99 dal 01/07/2020 al 31/12/2021 ed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euro 999,99 a partire dal 01/01/2022);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i punti di pagamento appositamente abilitati dal Concessionario, nei casi in 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cui l’importo della vincita sia compreso tra euro 5.200,01 e euro 52.000,00, che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provvedono alla prenotazione del bonifico, il cui pagamento avviene entro trenta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giorni solari dalla consegna della ricevuta. 3. In caso di vincita relativa a una gio­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cata effettuata tramite i punti di vendita a distanza il pagamento è effettuato se­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condo le modalità di cui al decreto di attuazione della legge 7 luglio 2009, n. 88.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4. Sulle vincite è applicato il prelievo previsto dal decreto direttoriale di attuazione </w:t>
      </w:r>
    </w:p>
    <w:p>
      <w:pPr>
        <w:sectPr>
          <w:type w:val="continuous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902"/>
        <w:ind w:left="10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Decreto del 17 Novembre 2015 Prot. N. 2015/109886/Giochi/Ena</w:t>
      </w:r>
    </w:p>
    <w:p>
      <w:pPr>
        <w:sectPr>
          <w:type w:val="nextColumn"/>
          <w:pgSz w:w="11906" w:h="16838"/>
          <w:pgMar w:top="266" w:right="506" w:bottom="150" w:left="566" w:header="720" w:footer="720" w:gutter="0"/>
          <w:cols w:num="2" w:equalWidth="0">
            <w:col w:w="5406" w:space="0"/>
            <w:col w:w="5428" w:space="0"/>
          </w:cols>
          <w:docGrid w:linePitch="360"/>
        </w:sectPr>
      </w:pPr>
    </w:p>
    <w:p>
      <w:pPr>
        <w:autoSpaceDN w:val="0"/>
        <w:tabs>
          <w:tab w:pos="6798" w:val="left"/>
          <w:tab w:pos="9310" w:val="left"/>
          <w:tab w:pos="9398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dell’articolo 2, comma 3, del decreto legge 13 agosto 2011, n. 138, convertito, </w:t>
      </w:r>
      <w:r>
        <w:tab/>
      </w:r>
      <w:r>
        <w:tab/>
      </w:r>
      <w:r>
        <w:tab/>
      </w: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IL VICEDIRETTORE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 modificazioni, dalla legge 14 settembre 2011, n. 148. </w:t>
      </w:r>
      <w:r>
        <w:tab/>
      </w:r>
      <w:r>
        <w:tab/>
      </w: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Alessandro Aronica*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5. Per riscuotere il pagamento delle vincite, il termine massimo per la presenta­</w:t>
      </w:r>
      <w:r>
        <w:tab/>
      </w:r>
      <w:r>
        <w:rPr>
          <w:rFonts w:ascii="HelveticaLTStd" w:hAnsi="HelveticaLTStd" w:eastAsia="HelveticaLTStd"/>
          <w:b w:val="0"/>
          <w:i w:val="0"/>
          <w:color w:val="231F20"/>
          <w:sz w:val="10"/>
        </w:rPr>
        <w:t xml:space="preserve">*Firma autografa sostituita a mezzo stampa ai sensi dell’art. 3, comma 2 del D.lgs. n.39/93 </w:t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zione delle ricevute di gioco vincenti è di 90 giorni solari dal giorno successivo a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quello di pubblicazione del Bollettino ufficiale. Le vincite non riscosse nel termine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di cui al precedente periodo sono versate all’erario.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6. Sulle vincite pagate oltre i termini di cui al comma 2 lettere a) e d), il Con­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cessionario corrisponde al vincitore, oltre ai loro importi, gli interessi calcolati al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tasso legale fino al giorno di effettivo pagamento.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7. Il Concessionario è responsabile della custodia delle ricevute di gioco, anche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se effettuata dai punti di vendita fisici: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a) per sei mesi a partire dal giorno successivo alla pubblicazione sul sito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Concessionario del Bollettino ufficiale del concorso di riferimento, nel caso di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ricevute relative a vincite di importo fino a euro 20,00;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b) per un anno a partire dal giorno successivo alla pubblicazione sul sito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Concessionario del Bollettino ufficiale del concorso di riferimento, nel caso di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ricevute relative a vincite di importo compreso tra euro 20,01 ed euro 5.200,00;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c) per due anni a partire dal giorno successivo alla pubblicazione sul sito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Concessionario del Bollettino ufficiale del concorso di riferimento, nel caso di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ricevute relative a vincite di importo superiore a euro 5.200,00;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d) per tutto il tempo necessario alla definizione delle controversie, nel caso di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ricevute a qualsiasi titolo oggetto di contestazione, in relazione ai reclami pre­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sentati ai sensi ed agli effetti dell’articolo 11, nonché alle azioni esperite in sede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giurisdizionale;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e) per un anno, nel caso delle ricevute relative alle giocate annullate.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8. Decorsi i termini di cui al comma 7, le ricevute sono distrutte a cura e spese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Concessionario che ne comunica le modalità all’Agenzia.</w:t>
      </w:r>
    </w:p>
    <w:p>
      <w:pPr>
        <w:autoSpaceDN w:val="0"/>
        <w:autoSpaceDE w:val="0"/>
        <w:widowControl/>
        <w:spacing w:line="180" w:lineRule="exact" w:before="360" w:after="0"/>
        <w:ind w:left="0" w:right="5472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11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Presentazione e trattamento dei reclami in materia di vincite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Il giocatore, entro 60 giorni decorrenti da quello successivo alla pubblicazione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del Bollettino ufficiale del concorso, può presentare reclamo scritto per ottenere il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riconoscimento dei premi cui lo stesso ritiene di avere diritto.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2. Al reclamo è allegata copia della ricevuta di gioco o la stampa dei dati identifi­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cativi della giocata a distanza.</w:t>
      </w:r>
    </w:p>
    <w:p>
      <w:pPr>
        <w:autoSpaceDN w:val="0"/>
        <w:autoSpaceDE w:val="0"/>
        <w:widowControl/>
        <w:spacing w:line="180" w:lineRule="exact" w:before="0" w:after="0"/>
        <w:ind w:left="0" w:right="5524" w:firstLine="0"/>
        <w:jc w:val="both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3. Il reclamo è proposto, a mezzo raccomandata a/r o a mano, alla Commissione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di determinazione delle giocate vincenti e di controllo del gioco ed è indirizzato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alla sede dell’Agenzia delle Dogane e dei Monopoli – Area Monopoli.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left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4. La Commissione di determinazione delle giocate vincenti e di controllo del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gioco può rigettare il reclamo per evidenti carenze di motivazione oppure può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chiedere alle parti eventuali elementi per la definizione della controversia. La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Commissione stessa può attivare apposito contraddittorio chiedendo al ricor­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rente la visione dell’originale della ricevuta di gioco. La Commissione, entro il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sessantesimo giorno dalla ricezione del reclamo, comunica alle parti la propria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decisione.</w:t>
      </w:r>
    </w:p>
    <w:p>
      <w:pPr>
        <w:autoSpaceDN w:val="0"/>
        <w:autoSpaceDE w:val="0"/>
        <w:widowControl/>
        <w:spacing w:line="180" w:lineRule="exact" w:before="0" w:after="0"/>
        <w:ind w:left="0" w:right="5472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5. In caso di accoglimento del reclamo, il Concessionario provvede, entro i dieci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giorni successivi alla notifica della comunicazione, alla corresponsione del pre­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mio riconosciuto con la maggiorazione degli interessi dovuti e delle eventuali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spese sostenute dal ricorrente. Se si rende necessaria la rideterminazione delle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quote rispetto a quelle pubblicate nel Bollettino ufficiale del concorso, i premi non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ancora riscossi sono corrisposti in base alla rideterminazione delle quote stesse.</w:t>
      </w:r>
    </w:p>
    <w:p>
      <w:pPr>
        <w:autoSpaceDN w:val="0"/>
        <w:autoSpaceDE w:val="0"/>
        <w:widowControl/>
        <w:spacing w:line="180" w:lineRule="exact" w:before="360" w:after="0"/>
        <w:ind w:left="0" w:right="5472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12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Raccolta del gioco all’estero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1. L’eventuale raccolta all’estero del SiVinceTutto SuperEnalotto attraverso il ca­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nale fisico può effettuarsi a seguito di apposito assenso da parte dello Stato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estero.</w:t>
      </w:r>
    </w:p>
    <w:p>
      <w:pPr>
        <w:autoSpaceDN w:val="0"/>
        <w:autoSpaceDE w:val="0"/>
        <w:widowControl/>
        <w:spacing w:line="178" w:lineRule="exact" w:before="362" w:after="0"/>
        <w:ind w:left="1278" w:right="0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>DISPOSIZIONI FINALI E TRANSITORIE</w:t>
      </w:r>
    </w:p>
    <w:p>
      <w:pPr>
        <w:autoSpaceDN w:val="0"/>
        <w:autoSpaceDE w:val="0"/>
        <w:widowControl/>
        <w:spacing w:line="180" w:lineRule="exact" w:before="360" w:after="0"/>
        <w:ind w:left="0" w:right="5472" w:firstLine="0"/>
        <w:jc w:val="left"/>
      </w:pPr>
      <w:r>
        <w:rPr>
          <w:rFonts w:ascii="HelveticaLTStd" w:hAnsi="HelveticaLTStd" w:eastAsia="HelveticaLTStd"/>
          <w:b/>
          <w:i w:val="0"/>
          <w:color w:val="231F20"/>
          <w:sz w:val="15"/>
        </w:rPr>
        <w:t xml:space="preserve">Articolo 13 </w:t>
      </w:r>
      <w:r>
        <w:br/>
      </w:r>
      <w:r>
        <w:rPr>
          <w:rFonts w:ascii="Helvetica Neue" w:hAnsi="Helvetica Neue" w:eastAsia="Helvetica Neue"/>
          <w:b w:val="0"/>
          <w:i/>
          <w:color w:val="231F20"/>
          <w:sz w:val="15"/>
        </w:rPr>
        <w:t xml:space="preserve">Abrogazioni, pubblicazione e decorrenza dell’applicazione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1. A decorrere dalla data di applicazione delle disposizioni del presente decreto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cessa quella delle disposizioni di cui al decreto direttoriale n. 2011/39740/giochi/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Ena del 20 ottobre 2011 e successive modificazioni sulla cui base, comunque,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 xml:space="preserve">continuano a essere regolati i rapporti ancora pendenti sorti in vigenza di tale </w:t>
      </w:r>
      <w:r>
        <w:br/>
      </w:r>
      <w:r>
        <w:rPr>
          <w:rFonts w:ascii="HelveticaLTStd" w:hAnsi="HelveticaLTStd" w:eastAsia="HelveticaLTStd"/>
          <w:b w:val="0"/>
          <w:i w:val="0"/>
          <w:color w:val="231F20"/>
          <w:sz w:val="15"/>
        </w:rPr>
        <w:t>decreto.</w:t>
      </w:r>
    </w:p>
    <w:p>
      <w:pPr>
        <w:autoSpaceDN w:val="0"/>
        <w:autoSpaceDE w:val="0"/>
        <w:widowControl/>
        <w:spacing w:line="186" w:lineRule="exact" w:before="162" w:after="0"/>
        <w:ind w:left="0" w:right="0" w:firstLine="0"/>
        <w:jc w:val="center"/>
      </w:pPr>
      <w:r>
        <w:rPr>
          <w:rFonts w:ascii="HelveticaLTStd" w:hAnsi="HelveticaLTStd" w:eastAsia="HelveticaLTStd"/>
          <w:b w:val="0"/>
          <w:i w:val="0"/>
          <w:color w:val="231F20"/>
          <w:sz w:val="16"/>
        </w:rPr>
        <w:t>3</w:t>
      </w:r>
    </w:p>
    <w:sectPr w:rsidR="00FC693F" w:rsidRPr="0006063C" w:rsidSect="00034616">
      <w:type w:val="continuous"/>
      <w:pgSz w:w="11906" w:h="16838"/>
      <w:pgMar w:top="266" w:right="506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