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b/>
          <w:bCs/>
          <w:color w:val="C55A11"/>
          <w:sz w:val="30"/>
          <w:szCs w:val="30"/>
        </w:rPr>
        <w:t xml:space="preserve">SRI JAYAM PRINTERS</w:t>
      </w:r>
    </w:p>
    <w:p>
      <w:pPr>
        <w:spacing w:after="200" w:before="200"/>
        <w:jc w:val="center"/>
      </w:pPr>
      <w:r>
        <w:rPr>
          <w:b/>
          <w:bCs/>
          <w:color w:val="1F3864"/>
          <w:sz w:val="44"/>
          <w:szCs w:val="44"/>
        </w:rPr>
        <w:t xml:space="preserve">Enterprise Billing &amp; Print-MIS Platform</w:t>
      </w:r>
    </w:p>
    <w:p>
      <w:pPr>
        <w:spacing w:after="600"/>
        <w:jc w:val="center"/>
      </w:pPr>
      <w:r>
        <w:rPr>
          <w:i/>
          <w:iCs/>
          <w:color w:val="444444"/>
          <w:sz w:val="26"/>
          <w:szCs w:val="26"/>
        </w:rPr>
        <w:t xml:space="preserve">Requirements, Product-Catalog Design &amp; System Architecture Blueprint</w:t>
      </w:r>
    </w:p>
    <w:p>
      <w:pPr>
        <w:spacing w:after="80"/>
        <w:jc w:val="center"/>
      </w:pPr>
      <w:r>
        <w:rPr>
          <w:sz w:val="22"/>
          <w:szCs w:val="22"/>
        </w:rPr>
        <w:t xml:space="preserve">Prepared for: Antony  |  Cloud + Mobile ERP Program</w:t>
      </w:r>
    </w:p>
    <w:p>
      <w:pPr>
        <w:jc w:val="center"/>
      </w:pPr>
      <w:r>
        <w:rPr>
          <w:sz w:val="22"/>
          <w:szCs w:val="22"/>
        </w:rPr>
        <w:t xml:space="preserve">Date: 28 July 2026</w:t>
      </w:r>
    </w:p>
    <w:p>
      <w:r>
        <w:br w:type="page"/>
      </w:r>
    </w:p>
    <w:p>
      <w:pPr>
        <w:pStyle w:val="Heading1"/>
        <w:spacing w:after="180" w:before="360"/>
      </w:pPr>
      <w:r>
        <w:t xml:space="preserve">Table of Contents</w:t>
      </w:r>
    </w:p>
    <w:p>
      <w:pPr>
        <w:spacing w:after="160"/>
      </w:pPr>
      <w:r>
        <w:t xml:space="preserve">1. Executive Summary</w:t>
      </w:r>
    </w:p>
    <w:p>
      <w:pPr>
        <w:spacing w:after="160"/>
      </w:pPr>
      <w:r>
        <w:t xml:space="preserve">2. Current State Assessment</w:t>
      </w:r>
    </w:p>
    <w:p>
      <w:pPr>
        <w:spacing w:after="160"/>
      </w:pPr>
      <w:r>
        <w:t xml:space="preserve">3. Business Domain Analysis (from the Rate-Card PDF)</w:t>
      </w:r>
    </w:p>
    <w:p>
      <w:pPr>
        <w:spacing w:after="160"/>
      </w:pPr>
      <w:r>
        <w:t xml:space="preserve">4. Benchmark: What MNC-Grade Billing / Print-MIS Platforms Provide</w:t>
      </w:r>
    </w:p>
    <w:p>
      <w:pPr>
        <w:spacing w:after="160"/>
      </w:pPr>
      <w:r>
        <w:t xml:space="preserve">5. Recommended Enterprise Feature Set</w:t>
      </w:r>
    </w:p>
    <w:p>
      <w:pPr>
        <w:spacing w:after="160"/>
      </w:pPr>
      <w:r>
        <w:t xml:space="preserve">6. Data Model &amp; Pricing-Engine Design</w:t>
      </w:r>
    </w:p>
    <w:p>
      <w:pPr>
        <w:spacing w:after="160"/>
      </w:pPr>
      <w:r>
        <w:t xml:space="preserve">7. System Architecture</w:t>
      </w:r>
    </w:p>
    <w:p>
      <w:pPr>
        <w:spacing w:after="160"/>
      </w:pPr>
      <w:r>
        <w:t xml:space="preserve">8. Implementation Roadmap</w:t>
      </w:r>
    </w:p>
    <w:p>
      <w:pPr>
        <w:spacing w:after="160"/>
      </w:pPr>
      <w:r>
        <w:t xml:space="preserve">9. Team Roles &amp; Responsibilities</w:t>
      </w:r>
    </w:p>
    <w:p>
      <w:pPr>
        <w:spacing w:after="160"/>
      </w:pPr>
      <w:r>
        <w:t xml:space="preserve">10. Immediate Next Steps</w:t>
      </w:r>
    </w:p>
    <w:p>
      <w:r>
        <w:br w:type="page"/>
      </w:r>
    </w:p>
    <w:p>
      <w:pPr>
        <w:pStyle w:val="Heading1"/>
        <w:spacing w:after="180" w:before="360"/>
      </w:pPr>
      <w:r>
        <w:t xml:space="preserve">1. Executive Summary</w:t>
      </w:r>
    </w:p>
    <w:p>
      <w:pPr>
        <w:spacing w:after="160"/>
      </w:pPr>
      <w:r>
        <w:t xml:space="preserve">Sri Jayam Printers is a 20+ year multi-service printing company whose real-world pricing catalogue (wedding invitations, visiting cards, ID cards, stationery/bill books, registers, rubber stamps, banners/flex, and more) is extremely deep — every product has its own combination of size, paper/board, GSM, colour, finishing, and quantity-slab pricing. A generic “flat rate × quantity” billing tool (which is what the current demo implements) cannot represent this business. What is needed is a configurable product-and-pricing engine wrapped in a full print-shop ERP: quotation → job card → production tracking → delivery → invoice → accounts, available on both a cloud web app and a mobile app.</w:t>
      </w:r>
    </w:p>
    <w:p>
      <w:pPr>
        <w:spacing w:after="160"/>
      </w:pPr>
      <w:r>
        <w:t xml:space="preserve">This document does three things: (1) analyses the attached rate-card PDF to extract the actual business rules the software must encode, (2) benchmarks what MNC-grade billing/print-MIS platforms (PrintSmith Vision, EFI PACE/ePS Pace, Zoho Books, Odoo, Tally/Vyapar) provide as a feature bar, and (3) proposes a concrete data model, module list, architecture, and phased roadmap so the team can move from the current demo to an enterprise-ready product.</w:t>
      </w:r>
    </w:p>
    <w:p>
      <w:pPr>
        <w:pStyle w:val="Heading1"/>
        <w:spacing w:after="180" w:before="360"/>
      </w:pPr>
      <w:r>
        <w:t xml:space="preserve">2. Current State Assessment</w:t>
      </w:r>
    </w:p>
    <w:p>
      <w:pPr>
        <w:pStyle w:val="Heading2"/>
        <w:spacing w:after="140" w:before="280"/>
      </w:pPr>
      <w:r>
        <w:t xml:space="preserve">2.1 What exists today</w:t>
      </w:r>
    </w:p>
    <w:p>
      <w:pPr>
        <w:pStyle w:val="ListParagraph"/>
        <w:numPr>
          <w:ilvl w:val="0"/>
          <w:numId w:val="2"/>
        </w:numPr>
        <w:spacing w:after="80"/>
      </w:pPr>
      <w:r>
        <w:t xml:space="preserve">A static marketing website (index, services, gallery, contact, quote pages) in the project folder, with a simple client-side quote calculator that multiplies a flat per-unit rate by quantity for four generic categories (flyer, business card, banner, stationery). This is a brochure site, not the billing application.</w:t>
      </w:r>
    </w:p>
    <w:p>
      <w:pPr>
        <w:pStyle w:val="ListParagraph"/>
        <w:numPr>
          <w:ilvl w:val="0"/>
          <w:numId w:val="2"/>
        </w:numPr>
        <w:spacing w:after="80"/>
      </w:pPr>
      <w:r>
        <w:t xml:space="preserve">Per your update, a separate FastAPI + React demo has also been started: JWT-style register/login tested via Swagger, a login → dashboard flow, a sidebar with Dashboard + Customers, and working Customer CRUD. That codebase was not present in the folder shared for this review, so it should be pulled into the same repository so everyone (you, Mercy, and any other contributor) works off one source of truth.</w:t>
      </w:r>
    </w:p>
    <w:p>
      <w:pPr>
        <w:pStyle w:val="ListParagraph"/>
        <w:numPr>
          <w:ilvl w:val="0"/>
          <w:numId w:val="2"/>
        </w:numPr>
        <w:spacing w:after="80"/>
      </w:pPr>
      <w:r>
        <w:t xml:space="preserve">Both are a reasonable foundation for auth and basic CRUD scaffolding, but neither yet encodes the actual printing-business pricing logic, production workflow, or accounts/ledger requirements described below.</w:t>
      </w:r>
    </w:p>
    <w:p>
      <w:pPr>
        <w:pStyle w:val="Heading2"/>
        <w:spacing w:after="140" w:before="280"/>
      </w:pPr>
      <w:r>
        <w:t xml:space="preserve">2.2 Gap to enterprise-grade</w:t>
      </w:r>
    </w:p>
    <w:p>
      <w:pPr>
        <w:pStyle w:val="ListParagraph"/>
        <w:numPr>
          <w:ilvl w:val="0"/>
          <w:numId w:val="2"/>
        </w:numPr>
        <w:spacing w:after="80"/>
      </w:pPr>
      <w:r>
        <w:t xml:space="preserve">Product catalogue is hard-coded to four generic categories with one price each — the real business has 10+ major product families, each with 5–15 configurable attributes and multi-tier quantity pricing (see Section 3).</w:t>
      </w:r>
    </w:p>
    <w:p>
      <w:pPr>
        <w:pStyle w:val="ListParagraph"/>
        <w:numPr>
          <w:ilvl w:val="0"/>
          <w:numId w:val="2"/>
        </w:numPr>
        <w:spacing w:after="80"/>
      </w:pPr>
      <w:r>
        <w:t xml:space="preserve">No job-card / production-stage tracking (DTP → machine → stamp/numbering → binding → proof verification → delivery), which your rate card explicitly calls out as required.</w:t>
      </w:r>
    </w:p>
    <w:p>
      <w:pPr>
        <w:pStyle w:val="ListParagraph"/>
        <w:numPr>
          <w:ilvl w:val="0"/>
          <w:numId w:val="2"/>
        </w:numPr>
        <w:spacing w:after="80"/>
      </w:pPr>
      <w:r>
        <w:t xml:space="preserve">No accounts module (cash-in-hand, cash-in-bank, cheque deposit/issue tracking, vendor stock ledger, open-orders balance).</w:t>
      </w:r>
    </w:p>
    <w:p>
      <w:pPr>
        <w:pStyle w:val="ListParagraph"/>
        <w:numPr>
          <w:ilvl w:val="0"/>
          <w:numId w:val="2"/>
        </w:numPr>
        <w:spacing w:after="80"/>
      </w:pPr>
      <w:r>
        <w:t xml:space="preserve">No document set beyond a generic quote: the business needs Quotation, Estimate, Job Card, Delivery Challan (Cash Bill and GST Tax Bill variants), and Sales Tax Invoice as distinct, sequentially-numbered documents.</w:t>
      </w:r>
    </w:p>
    <w:p>
      <w:pPr>
        <w:pStyle w:val="ListParagraph"/>
        <w:numPr>
          <w:ilvl w:val="0"/>
          <w:numId w:val="2"/>
        </w:numPr>
        <w:spacing w:after="80"/>
      </w:pPr>
      <w:r>
        <w:t xml:space="preserve">No mobile app, no reporting/graphs, no low-stock or delivery-date/payment reminders.</w:t>
      </w:r>
    </w:p>
    <w:p>
      <w:pPr>
        <w:spacing w:after="160"/>
      </w:pPr>
      <w:r>
        <w:rPr>
          <w:i/>
          <w:iCs/>
        </w:rPr>
        <w:t xml:space="preserve">None of this is a criticism of the initial build — it is a normal starting point. The rest of this document defines what “enterprise-grade” needs to add on top of it, and a git repository with protected main branch, pull requests, and CI should be set up now so that “latest code always pushed and visible to everyone” (as you requested) is enforced by process rather than reminders.</w:t>
      </w:r>
    </w:p>
    <w:p>
      <w:pPr>
        <w:pStyle w:val="Heading1"/>
        <w:spacing w:after="180" w:before="360"/>
      </w:pPr>
      <w:r>
        <w:t xml:space="preserve">3. Business Domain Analysis (from the Rate-Card PDF)</w:t>
      </w:r>
    </w:p>
    <w:p>
      <w:pPr>
        <w:spacing w:after="160"/>
      </w:pPr>
      <w:r>
        <w:t xml:space="preserve">The attached PDF is effectively an unwritten requirements specification. It shows that pricing in this business is never “one price per product” — it is always a function of several independent variables multiplied or added together. The table below extracts the product families and the variables that drive their price, which becomes the backbone of the data model in Section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80"/>
        <w:gridCol w:w="4000"/>
        <w:gridCol w:w="3300"/>
      </w:tblGrid>
      <w:tr>
        <w:trPr>
          <w:tblHeader/>
        </w:trPr>
        <w:tc>
          <w:tcPr>
            <w:tcW w:type="dxa" w:w="2780"/>
            <w:shd w:fill="1F3864" w:val="clear"/>
            <w:tcMar>
              <w:top w:type="dxa" w:w="80"/>
              <w:left w:type="dxa" w:w="100"/>
              <w:bottom w:type="dxa" w:w="80"/>
              <w:right w:type="dxa" w:w="100"/>
            </w:tcMar>
          </w:tcPr>
          <w:p>
            <w:pPr>
              <w:jc w:val="left"/>
            </w:pPr>
            <w:r>
              <w:rPr>
                <w:b/>
                <w:bCs/>
                <w:color w:val="FFFFFF"/>
                <w:sz w:val="20"/>
                <w:szCs w:val="20"/>
              </w:rPr>
              <w:t xml:space="preserve">Product Family</w:t>
            </w:r>
          </w:p>
        </w:tc>
        <w:tc>
          <w:tcPr>
            <w:tcW w:type="dxa" w:w="4000"/>
            <w:shd w:fill="1F3864" w:val="clear"/>
            <w:tcMar>
              <w:top w:type="dxa" w:w="80"/>
              <w:left w:type="dxa" w:w="100"/>
              <w:bottom w:type="dxa" w:w="80"/>
              <w:right w:type="dxa" w:w="100"/>
            </w:tcMar>
          </w:tcPr>
          <w:p>
            <w:pPr>
              <w:jc w:val="left"/>
            </w:pPr>
            <w:r>
              <w:rPr>
                <w:b/>
                <w:bCs/>
                <w:color w:val="FFFFFF"/>
                <w:sz w:val="20"/>
                <w:szCs w:val="20"/>
              </w:rPr>
              <w:t xml:space="preserve">Key Configurable Attributes</w:t>
            </w:r>
          </w:p>
        </w:tc>
        <w:tc>
          <w:tcPr>
            <w:tcW w:type="dxa" w:w="3300"/>
            <w:shd w:fill="1F3864" w:val="clear"/>
            <w:tcMar>
              <w:top w:type="dxa" w:w="80"/>
              <w:left w:type="dxa" w:w="100"/>
              <w:bottom w:type="dxa" w:w="80"/>
              <w:right w:type="dxa" w:w="100"/>
            </w:tcMar>
          </w:tcPr>
          <w:p>
            <w:pPr>
              <w:jc w:val="left"/>
            </w:pPr>
            <w:r>
              <w:rPr>
                <w:b/>
                <w:bCs/>
                <w:color w:val="FFFFFF"/>
                <w:sz w:val="20"/>
                <w:szCs w:val="20"/>
              </w:rPr>
              <w:t xml:space="preserve">Pricing Structure</w:t>
            </w:r>
          </w:p>
        </w:tc>
      </w:tr>
      <w:tr>
        <w:tc>
          <w:tcPr>
            <w:tcW w:type="dxa" w:w="2780"/>
            <w:tcMar>
              <w:top w:type="dxa" w:w="80"/>
              <w:left w:type="dxa" w:w="100"/>
              <w:bottom w:type="dxa" w:w="80"/>
              <w:right w:type="dxa" w:w="100"/>
            </w:tcMar>
          </w:tcPr>
          <w:p>
            <w:pPr>
              <w:jc w:val="left"/>
            </w:pPr>
            <w:r>
              <w:rPr>
                <w:b w:val="false"/>
                <w:bCs w:val="false"/>
                <w:color w:val="000000"/>
                <w:sz w:val="20"/>
                <w:szCs w:val="20"/>
              </w:rPr>
              <w:t xml:space="preserve">Wedding / Invitation Cards &amp; Covers (Offset, Screen, Digital)</w:t>
            </w:r>
          </w:p>
        </w:tc>
        <w:tc>
          <w:tcPr>
            <w:tcW w:type="dxa" w:w="4000"/>
            <w:tcMar>
              <w:top w:type="dxa" w:w="80"/>
              <w:left w:type="dxa" w:w="100"/>
              <w:bottom w:type="dxa" w:w="80"/>
              <w:right w:type="dxa" w:w="100"/>
            </w:tcMar>
          </w:tcPr>
          <w:p>
            <w:pPr>
              <w:jc w:val="left"/>
            </w:pPr>
            <w:r>
              <w:rPr>
                <w:b w:val="false"/>
                <w:bCs w:val="false"/>
                <w:color w:val="000000"/>
                <w:sz w:val="20"/>
                <w:szCs w:val="20"/>
              </w:rPr>
              <w:t xml:space="preserve">Customer-supplied vs. press-designed; card model; size (e.g. 6x4, 13x19, 17x24); paper/board type &amp; GSM (Art, Matt, Duplex Art, Maplitho – 8 GSM tiers each); colour (single/two/multi); side (single/both); lamination (glass, matt, 3D, thermal); special work (UV, nurling, gold/silver foiling, embossing, die-cutting)</w:t>
            </w:r>
          </w:p>
        </w:tc>
        <w:tc>
          <w:tcPr>
            <w:tcW w:type="dxa" w:w="3300"/>
            <w:tcMar>
              <w:top w:type="dxa" w:w="80"/>
              <w:left w:type="dxa" w:w="100"/>
              <w:bottom w:type="dxa" w:w="80"/>
              <w:right w:type="dxa" w:w="100"/>
            </w:tcMar>
          </w:tcPr>
          <w:p>
            <w:pPr>
              <w:jc w:val="left"/>
            </w:pPr>
            <w:r>
              <w:rPr>
                <w:b w:val="false"/>
                <w:bCs w:val="false"/>
                <w:color w:val="000000"/>
                <w:sz w:val="20"/>
                <w:szCs w:val="20"/>
              </w:rPr>
              <w:t xml:space="preserve">Base rate matrix by size × GSM × paper-finish, in quantity slabs (1–500 / 1–1000 / additional-each-1), plus additive extra-work and pasting charges</w:t>
            </w:r>
          </w:p>
        </w:tc>
      </w:tr>
      <w:tr>
        <w:tc>
          <w:tcPr>
            <w:tcW w:type="dxa" w:w="2780"/>
            <w:tcMar>
              <w:top w:type="dxa" w:w="80"/>
              <w:left w:type="dxa" w:w="100"/>
              <w:bottom w:type="dxa" w:w="80"/>
              <w:right w:type="dxa" w:w="100"/>
            </w:tcMar>
          </w:tcPr>
          <w:p>
            <w:pPr>
              <w:jc w:val="left"/>
            </w:pPr>
            <w:r>
              <w:rPr>
                <w:b w:val="false"/>
                <w:bCs w:val="false"/>
                <w:color w:val="000000"/>
                <w:sz w:val="20"/>
                <w:szCs w:val="20"/>
              </w:rPr>
              <w:t xml:space="preserve">Readymade Invitation / Friends Card</w:t>
            </w:r>
          </w:p>
        </w:tc>
        <w:tc>
          <w:tcPr>
            <w:tcW w:type="dxa" w:w="4000"/>
            <w:tcMar>
              <w:top w:type="dxa" w:w="80"/>
              <w:left w:type="dxa" w:w="100"/>
              <w:bottom w:type="dxa" w:w="80"/>
              <w:right w:type="dxa" w:w="100"/>
            </w:tcMar>
          </w:tcPr>
          <w:p>
            <w:pPr>
              <w:jc w:val="left"/>
            </w:pPr>
            <w:r>
              <w:rPr>
                <w:b w:val="false"/>
                <w:bCs w:val="false"/>
                <w:color w:val="000000"/>
                <w:sz w:val="20"/>
                <w:szCs w:val="20"/>
              </w:rPr>
              <w:t xml:space="preserve">Press card model &amp; rate vs. customer printing-charge-only; extra work (thread stitching, box pasting, foiling)</w:t>
            </w:r>
          </w:p>
        </w:tc>
        <w:tc>
          <w:tcPr>
            <w:tcW w:type="dxa" w:w="3300"/>
            <w:tcMar>
              <w:top w:type="dxa" w:w="80"/>
              <w:left w:type="dxa" w:w="100"/>
              <w:bottom w:type="dxa" w:w="80"/>
              <w:right w:type="dxa" w:w="100"/>
            </w:tcMar>
          </w:tcPr>
          <w:p>
            <w:pPr>
              <w:jc w:val="left"/>
            </w:pPr>
            <w:r>
              <w:rPr>
                <w:b w:val="false"/>
                <w:bCs w:val="false"/>
                <w:color w:val="000000"/>
                <w:sz w:val="20"/>
                <w:szCs w:val="20"/>
              </w:rPr>
              <w:t xml:space="preserve">Card/cover rate + printing charge + extra-work rate</w:t>
            </w:r>
          </w:p>
        </w:tc>
      </w:tr>
      <w:tr>
        <w:tc>
          <w:tcPr>
            <w:tcW w:type="dxa" w:w="2780"/>
            <w:tcMar>
              <w:top w:type="dxa" w:w="80"/>
              <w:left w:type="dxa" w:w="100"/>
              <w:bottom w:type="dxa" w:w="80"/>
              <w:right w:type="dxa" w:w="100"/>
            </w:tcMar>
          </w:tcPr>
          <w:p>
            <w:pPr>
              <w:jc w:val="left"/>
            </w:pPr>
            <w:r>
              <w:rPr>
                <w:b w:val="false"/>
                <w:bCs w:val="false"/>
                <w:color w:val="000000"/>
                <w:sz w:val="20"/>
                <w:szCs w:val="20"/>
              </w:rPr>
              <w:t xml:space="preserve">Visiting Cards</w:t>
            </w:r>
          </w:p>
        </w:tc>
        <w:tc>
          <w:tcPr>
            <w:tcW w:type="dxa" w:w="4000"/>
            <w:tcMar>
              <w:top w:type="dxa" w:w="80"/>
              <w:left w:type="dxa" w:w="100"/>
              <w:bottom w:type="dxa" w:w="80"/>
              <w:right w:type="dxa" w:w="100"/>
            </w:tcMar>
          </w:tcPr>
          <w:p>
            <w:pPr>
              <w:jc w:val="left"/>
            </w:pPr>
            <w:r>
              <w:rPr>
                <w:b w:val="false"/>
                <w:bCs w:val="false"/>
                <w:color w:val="000000"/>
                <w:sz w:val="20"/>
                <w:szCs w:val="20"/>
              </w:rPr>
              <w:t xml:space="preserve">With/without designing &amp; logo designing; qty slabs from 50 to 40,000; single/front-back; lamination (none/gloss/matt/3D); special work (corner cutting size, foiling/colour)</w:t>
            </w:r>
          </w:p>
        </w:tc>
        <w:tc>
          <w:tcPr>
            <w:tcW w:type="dxa" w:w="3300"/>
            <w:tcMar>
              <w:top w:type="dxa" w:w="80"/>
              <w:left w:type="dxa" w:w="100"/>
              <w:bottom w:type="dxa" w:w="80"/>
              <w:right w:type="dxa" w:w="100"/>
            </w:tcMar>
          </w:tcPr>
          <w:p>
            <w:pPr>
              <w:jc w:val="left"/>
            </w:pPr>
            <w:r>
              <w:rPr>
                <w:b w:val="false"/>
                <w:bCs w:val="false"/>
                <w:color w:val="000000"/>
                <w:sz w:val="20"/>
                <w:szCs w:val="20"/>
              </w:rPr>
              <w:t xml:space="preserve">Tiered qty-break pricing table, 20+ quantity bands × 6 lamination combinations</w:t>
            </w:r>
          </w:p>
        </w:tc>
      </w:tr>
      <w:tr>
        <w:tc>
          <w:tcPr>
            <w:tcW w:type="dxa" w:w="2780"/>
            <w:tcMar>
              <w:top w:type="dxa" w:w="80"/>
              <w:left w:type="dxa" w:w="100"/>
              <w:bottom w:type="dxa" w:w="80"/>
              <w:right w:type="dxa" w:w="100"/>
            </w:tcMar>
          </w:tcPr>
          <w:p>
            <w:pPr>
              <w:jc w:val="left"/>
            </w:pPr>
            <w:r>
              <w:rPr>
                <w:b w:val="false"/>
                <w:bCs w:val="false"/>
                <w:color w:val="000000"/>
                <w:sz w:val="20"/>
                <w:szCs w:val="20"/>
              </w:rPr>
              <w:t xml:space="preserve">ID Cards</w:t>
            </w:r>
          </w:p>
        </w:tc>
        <w:tc>
          <w:tcPr>
            <w:tcW w:type="dxa" w:w="4000"/>
            <w:tcMar>
              <w:top w:type="dxa" w:w="80"/>
              <w:left w:type="dxa" w:w="100"/>
              <w:bottom w:type="dxa" w:w="80"/>
              <w:right w:type="dxa" w:w="100"/>
            </w:tcMar>
          </w:tcPr>
          <w:p>
            <w:pPr>
              <w:jc w:val="left"/>
            </w:pPr>
            <w:r>
              <w:rPr>
                <w:b w:val="false"/>
                <w:bCs w:val="false"/>
                <w:color w:val="000000"/>
                <w:sz w:val="20"/>
                <w:szCs w:val="20"/>
              </w:rPr>
              <w:t xml:space="preserve">Synthetic / PVC / chip card; portrait or landscape; holder + holder colour + quality; rope (single/multi-colour) or hook; single/front-back</w:t>
            </w:r>
          </w:p>
        </w:tc>
        <w:tc>
          <w:tcPr>
            <w:tcW w:type="dxa" w:w="3300"/>
            <w:tcMar>
              <w:top w:type="dxa" w:w="80"/>
              <w:left w:type="dxa" w:w="100"/>
              <w:bottom w:type="dxa" w:w="80"/>
              <w:right w:type="dxa" w:w="100"/>
            </w:tcMar>
          </w:tcPr>
          <w:p>
            <w:pPr>
              <w:jc w:val="left"/>
            </w:pPr>
            <w:r>
              <w:rPr>
                <w:b w:val="false"/>
                <w:bCs w:val="false"/>
                <w:color w:val="000000"/>
                <w:sz w:val="20"/>
                <w:szCs w:val="20"/>
              </w:rPr>
              <w:t xml:space="preserve">Per-card rate + holder + rope/hook add-ons; PVC-pouch temporary ID variant</w:t>
            </w:r>
          </w:p>
        </w:tc>
      </w:tr>
      <w:tr>
        <w:tc>
          <w:tcPr>
            <w:tcW w:type="dxa" w:w="2780"/>
            <w:tcMar>
              <w:top w:type="dxa" w:w="80"/>
              <w:left w:type="dxa" w:w="100"/>
              <w:bottom w:type="dxa" w:w="80"/>
              <w:right w:type="dxa" w:w="100"/>
            </w:tcMar>
          </w:tcPr>
          <w:p>
            <w:pPr>
              <w:jc w:val="left"/>
            </w:pPr>
            <w:r>
              <w:rPr>
                <w:b w:val="false"/>
                <w:bCs w:val="false"/>
                <w:color w:val="000000"/>
                <w:sz w:val="20"/>
                <w:szCs w:val="20"/>
              </w:rPr>
              <w:t xml:space="preserve">Stationery / Bill Books (letterhead, invoice, bill book, cash memo, delivery challan, gate pass, visitor pass, prescription, voucher, estimate, exam sheet, trip sheet)</w:t>
            </w:r>
          </w:p>
        </w:tc>
        <w:tc>
          <w:tcPr>
            <w:tcW w:type="dxa" w:w="4000"/>
            <w:tcMar>
              <w:top w:type="dxa" w:w="80"/>
              <w:left w:type="dxa" w:w="100"/>
              <w:bottom w:type="dxa" w:w="80"/>
              <w:right w:type="dxa" w:w="100"/>
            </w:tcMar>
          </w:tcPr>
          <w:p>
            <w:pPr>
              <w:jc w:val="left"/>
            </w:pPr>
            <w:r>
              <w:rPr>
                <w:b w:val="false"/>
                <w:bCs w:val="false"/>
                <w:color w:val="000000"/>
                <w:sz w:val="20"/>
                <w:szCs w:val="20"/>
              </w:rPr>
              <w:t xml:space="preserve">Paper name/colour (10+ papers incl. Royal Ex.Bond, Sirpur, Westcost, Ledger variants); printing colour; single/front-back; binding type (loose/pad/soft/hard) &amp; binding-model (top/side/bottom/centre-stitch); set size (25/50/100/200/custom); page-fraction size (1/4, 1/5, 1/6, 1/8, 1/10, 1/12, 1/16, 1/24, A3…)</w:t>
            </w:r>
          </w:p>
        </w:tc>
        <w:tc>
          <w:tcPr>
            <w:tcW w:type="dxa" w:w="3300"/>
            <w:tcMar>
              <w:top w:type="dxa" w:w="80"/>
              <w:left w:type="dxa" w:w="100"/>
              <w:bottom w:type="dxa" w:w="80"/>
              <w:right w:type="dxa" w:w="100"/>
            </w:tcMar>
          </w:tcPr>
          <w:p>
            <w:pPr>
              <w:jc w:val="left"/>
            </w:pPr>
            <w:r>
              <w:rPr>
                <w:b w:val="false"/>
                <w:bCs w:val="false"/>
                <w:color w:val="000000"/>
                <w:sz w:val="20"/>
                <w:szCs w:val="20"/>
              </w:rPr>
              <w:t xml:space="preserve">Rate matrix keyed by fraction-size × GSM(8 tiers) × paper-brand, split into “1st 1000 nos” and “additional 1000 nos” bands</w:t>
            </w:r>
          </w:p>
        </w:tc>
      </w:tr>
      <w:tr>
        <w:tc>
          <w:tcPr>
            <w:tcW w:type="dxa" w:w="2780"/>
            <w:tcMar>
              <w:top w:type="dxa" w:w="80"/>
              <w:left w:type="dxa" w:w="100"/>
              <w:bottom w:type="dxa" w:w="80"/>
              <w:right w:type="dxa" w:w="100"/>
            </w:tcMar>
          </w:tcPr>
          <w:p>
            <w:pPr>
              <w:jc w:val="left"/>
            </w:pPr>
            <w:r>
              <w:rPr>
                <w:b w:val="false"/>
                <w:bCs w:val="false"/>
                <w:color w:val="000000"/>
                <w:sz w:val="20"/>
                <w:szCs w:val="20"/>
              </w:rPr>
              <w:t xml:space="preserve">Registers</w:t>
            </w:r>
          </w:p>
        </w:tc>
        <w:tc>
          <w:tcPr>
            <w:tcW w:type="dxa" w:w="4000"/>
            <w:tcMar>
              <w:top w:type="dxa" w:w="80"/>
              <w:left w:type="dxa" w:w="100"/>
              <w:bottom w:type="dxa" w:w="80"/>
              <w:right w:type="dxa" w:w="100"/>
            </w:tcMar>
          </w:tcPr>
          <w:p>
            <w:pPr>
              <w:jc w:val="left"/>
            </w:pPr>
            <w:r>
              <w:rPr>
                <w:b w:val="false"/>
                <w:bCs w:val="false"/>
                <w:color w:val="000000"/>
                <w:sz w:val="20"/>
                <w:szCs w:val="20"/>
              </w:rPr>
              <w:t xml:space="preserve">Size, GSM (paper &amp; ledger separately), printing colour (1/2/3/multi), binding (soft/hard/calico/rexon/leather + corner variants), page count (32–500), binding-set pricing</w:t>
            </w:r>
          </w:p>
        </w:tc>
        <w:tc>
          <w:tcPr>
            <w:tcW w:type="dxa" w:w="3300"/>
            <w:tcMar>
              <w:top w:type="dxa" w:w="80"/>
              <w:left w:type="dxa" w:w="100"/>
              <w:bottom w:type="dxa" w:w="80"/>
              <w:right w:type="dxa" w:w="100"/>
            </w:tcMar>
          </w:tcPr>
          <w:p>
            <w:pPr>
              <w:jc w:val="left"/>
            </w:pPr>
            <w:r>
              <w:rPr>
                <w:b w:val="false"/>
                <w:bCs w:val="false"/>
                <w:color w:val="000000"/>
                <w:sz w:val="20"/>
                <w:szCs w:val="20"/>
              </w:rPr>
              <w:t xml:space="preserve">Per-book rate driven by page count + binding type + paper grade</w:t>
            </w:r>
          </w:p>
        </w:tc>
      </w:tr>
      <w:tr>
        <w:tc>
          <w:tcPr>
            <w:tcW w:type="dxa" w:w="2780"/>
            <w:tcMar>
              <w:top w:type="dxa" w:w="80"/>
              <w:left w:type="dxa" w:w="100"/>
              <w:bottom w:type="dxa" w:w="80"/>
              <w:right w:type="dxa" w:w="100"/>
            </w:tcMar>
          </w:tcPr>
          <w:p>
            <w:pPr>
              <w:jc w:val="left"/>
            </w:pPr>
            <w:r>
              <w:rPr>
                <w:b w:val="false"/>
                <w:bCs w:val="false"/>
                <w:color w:val="000000"/>
                <w:sz w:val="20"/>
                <w:szCs w:val="20"/>
              </w:rPr>
              <w:t xml:space="preserve">Application Forms / T.C. (Transfer Certificate)</w:t>
            </w:r>
          </w:p>
        </w:tc>
        <w:tc>
          <w:tcPr>
            <w:tcW w:type="dxa" w:w="4000"/>
            <w:tcMar>
              <w:top w:type="dxa" w:w="80"/>
              <w:left w:type="dxa" w:w="100"/>
              <w:bottom w:type="dxa" w:w="80"/>
              <w:right w:type="dxa" w:w="100"/>
            </w:tcMar>
          </w:tcPr>
          <w:p>
            <w:pPr>
              <w:jc w:val="left"/>
            </w:pPr>
            <w:r>
              <w:rPr>
                <w:b w:val="false"/>
                <w:bCs w:val="false"/>
                <w:color w:val="000000"/>
                <w:sz w:val="20"/>
                <w:szCs w:val="20"/>
              </w:rPr>
              <w:t xml:space="preserve">Size (10 standard sizes incl. A4/A5/A3), paper (white/art/ledger/foreign/custom), folding (2/3/4-fold, booklet), single/both side</w:t>
            </w:r>
          </w:p>
        </w:tc>
        <w:tc>
          <w:tcPr>
            <w:tcW w:type="dxa" w:w="3300"/>
            <w:tcMar>
              <w:top w:type="dxa" w:w="80"/>
              <w:left w:type="dxa" w:w="100"/>
              <w:bottom w:type="dxa" w:w="80"/>
              <w:right w:type="dxa" w:w="100"/>
            </w:tcMar>
          </w:tcPr>
          <w:p>
            <w:pPr>
              <w:jc w:val="left"/>
            </w:pPr>
            <w:r>
              <w:rPr>
                <w:b w:val="false"/>
                <w:bCs w:val="false"/>
                <w:color w:val="000000"/>
                <w:sz w:val="20"/>
                <w:szCs w:val="20"/>
              </w:rPr>
              <w:t xml:space="preserve">Qty-slab table (50/100 nos bands) + additional-each-1 rate</w:t>
            </w:r>
          </w:p>
        </w:tc>
      </w:tr>
      <w:tr>
        <w:tc>
          <w:tcPr>
            <w:tcW w:type="dxa" w:w="2780"/>
            <w:tcMar>
              <w:top w:type="dxa" w:w="80"/>
              <w:left w:type="dxa" w:w="100"/>
              <w:bottom w:type="dxa" w:w="80"/>
              <w:right w:type="dxa" w:w="100"/>
            </w:tcMar>
          </w:tcPr>
          <w:p>
            <w:pPr>
              <w:jc w:val="left"/>
            </w:pPr>
            <w:r>
              <w:rPr>
                <w:b w:val="false"/>
                <w:bCs w:val="false"/>
                <w:color w:val="000000"/>
                <w:sz w:val="20"/>
                <w:szCs w:val="20"/>
              </w:rPr>
              <w:t xml:space="preserve">Menu Cards</w:t>
            </w:r>
          </w:p>
        </w:tc>
        <w:tc>
          <w:tcPr>
            <w:tcW w:type="dxa" w:w="4000"/>
            <w:tcMar>
              <w:top w:type="dxa" w:w="80"/>
              <w:left w:type="dxa" w:w="100"/>
              <w:bottom w:type="dxa" w:w="80"/>
              <w:right w:type="dxa" w:w="100"/>
            </w:tcMar>
          </w:tcPr>
          <w:p>
            <w:pPr>
              <w:jc w:val="left"/>
            </w:pPr>
            <w:r>
              <w:rPr>
                <w:b w:val="false"/>
                <w:bCs w:val="false"/>
                <w:color w:val="000000"/>
                <w:sz w:val="20"/>
                <w:szCs w:val="20"/>
              </w:rPr>
              <w:t xml:space="preserve">Size, GSM, page count, board type (art/criss-cross/gold-silver metallic/nurling), lamination, binding (wiro/spiral/case/karishma/pouch-lamination), designing y/n</w:t>
            </w:r>
          </w:p>
        </w:tc>
        <w:tc>
          <w:tcPr>
            <w:tcW w:type="dxa" w:w="3300"/>
            <w:tcMar>
              <w:top w:type="dxa" w:w="80"/>
              <w:left w:type="dxa" w:w="100"/>
              <w:bottom w:type="dxa" w:w="80"/>
              <w:right w:type="dxa" w:w="100"/>
            </w:tcMar>
          </w:tcPr>
          <w:p>
            <w:pPr>
              <w:jc w:val="left"/>
            </w:pPr>
            <w:r>
              <w:rPr>
                <w:b w:val="false"/>
                <w:bCs w:val="false"/>
                <w:color w:val="000000"/>
                <w:sz w:val="20"/>
                <w:szCs w:val="20"/>
              </w:rPr>
              <w:t xml:space="preserve">Per-piece rate with board &amp; binding add-ons</w:t>
            </w:r>
          </w:p>
        </w:tc>
      </w:tr>
      <w:tr>
        <w:tc>
          <w:tcPr>
            <w:tcW w:type="dxa" w:w="2780"/>
            <w:tcMar>
              <w:top w:type="dxa" w:w="80"/>
              <w:left w:type="dxa" w:w="100"/>
              <w:bottom w:type="dxa" w:w="80"/>
              <w:right w:type="dxa" w:w="100"/>
            </w:tcMar>
          </w:tcPr>
          <w:p>
            <w:pPr>
              <w:jc w:val="left"/>
            </w:pPr>
            <w:r>
              <w:rPr>
                <w:b w:val="false"/>
                <w:bCs w:val="false"/>
                <w:color w:val="000000"/>
                <w:sz w:val="20"/>
                <w:szCs w:val="20"/>
              </w:rPr>
              <w:t xml:space="preserve">Rubber Stamps (Polymer, Dura-Preink, Sun, Numbering-seal)</w:t>
            </w:r>
          </w:p>
        </w:tc>
        <w:tc>
          <w:tcPr>
            <w:tcW w:type="dxa" w:w="4000"/>
            <w:tcMar>
              <w:top w:type="dxa" w:w="80"/>
              <w:left w:type="dxa" w:w="100"/>
              <w:bottom w:type="dxa" w:w="80"/>
              <w:right w:type="dxa" w:w="100"/>
            </w:tcMar>
          </w:tcPr>
          <w:p>
            <w:pPr>
              <w:jc w:val="left"/>
            </w:pPr>
            <w:r>
              <w:rPr>
                <w:b w:val="false"/>
                <w:bCs w:val="false"/>
                <w:color w:val="000000"/>
                <w:sz w:val="20"/>
                <w:szCs w:val="20"/>
              </w:rPr>
              <w:t xml:space="preserve">4 stamp-type catalogues, ~70 fixed SKU sizes (A1–A21, B1–B18, C1–C15, D1/X1–X16) each with a fixed listed price</w:t>
            </w:r>
          </w:p>
        </w:tc>
        <w:tc>
          <w:tcPr>
            <w:tcW w:type="dxa" w:w="3300"/>
            <w:tcMar>
              <w:top w:type="dxa" w:w="80"/>
              <w:left w:type="dxa" w:w="100"/>
              <w:bottom w:type="dxa" w:w="80"/>
              <w:right w:type="dxa" w:w="100"/>
            </w:tcMar>
          </w:tcPr>
          <w:p>
            <w:pPr>
              <w:jc w:val="left"/>
            </w:pPr>
            <w:r>
              <w:rPr>
                <w:b w:val="false"/>
                <w:bCs w:val="false"/>
                <w:color w:val="000000"/>
                <w:sz w:val="20"/>
                <w:szCs w:val="20"/>
              </w:rPr>
              <w:t xml:space="preserve">Flat SKU price list — simplest pricing model, effectively a fixed-price product catalogue</w:t>
            </w:r>
          </w:p>
        </w:tc>
      </w:tr>
      <w:tr>
        <w:tc>
          <w:tcPr>
            <w:tcW w:type="dxa" w:w="2780"/>
            <w:tcMar>
              <w:top w:type="dxa" w:w="80"/>
              <w:left w:type="dxa" w:w="100"/>
              <w:bottom w:type="dxa" w:w="80"/>
              <w:right w:type="dxa" w:w="100"/>
            </w:tcMar>
          </w:tcPr>
          <w:p>
            <w:pPr>
              <w:jc w:val="left"/>
            </w:pPr>
            <w:r>
              <w:rPr>
                <w:b w:val="false"/>
                <w:bCs w:val="false"/>
                <w:color w:val="000000"/>
                <w:sz w:val="20"/>
                <w:szCs w:val="20"/>
              </w:rPr>
              <w:t xml:space="preserve">Digital Banners / Flex / Stickers / Sunpack / Foam / Acrylic</w:t>
            </w:r>
          </w:p>
        </w:tc>
        <w:tc>
          <w:tcPr>
            <w:tcW w:type="dxa" w:w="4000"/>
            <w:tcMar>
              <w:top w:type="dxa" w:w="80"/>
              <w:left w:type="dxa" w:w="100"/>
              <w:bottom w:type="dxa" w:w="80"/>
              <w:right w:type="dxa" w:w="100"/>
            </w:tcMar>
          </w:tcPr>
          <w:p>
            <w:pPr>
              <w:jc w:val="left"/>
            </w:pPr>
            <w:r>
              <w:rPr>
                <w:b w:val="false"/>
                <w:bCs w:val="false"/>
                <w:color w:val="000000"/>
                <w:sz w:val="20"/>
                <w:szCs w:val="20"/>
              </w:rPr>
              <w:t xml:space="preserve">Media (flex, star-flex, one-way/clear/eco-solvent sticker, front/back-lit sunpack, foam, acrylic + colour); flex-only vs. with-frame vs. with-fittings; transport charge; single/both side</w:t>
            </w:r>
          </w:p>
        </w:tc>
        <w:tc>
          <w:tcPr>
            <w:tcW w:type="dxa" w:w="3300"/>
            <w:tcMar>
              <w:top w:type="dxa" w:w="80"/>
              <w:left w:type="dxa" w:w="100"/>
              <w:bottom w:type="dxa" w:w="80"/>
              <w:right w:type="dxa" w:w="100"/>
            </w:tcMar>
          </w:tcPr>
          <w:p>
            <w:pPr>
              <w:jc w:val="left"/>
            </w:pPr>
            <w:r>
              <w:rPr>
                <w:b w:val="false"/>
                <w:bCs w:val="false"/>
                <w:color w:val="000000"/>
                <w:sz w:val="20"/>
                <w:szCs w:val="20"/>
              </w:rPr>
              <w:t xml:space="preserve">Rate per sq.ft (implied) + frame/fitting/transport add-ons</w:t>
            </w:r>
          </w:p>
        </w:tc>
      </w:tr>
      <w:tr>
        <w:tc>
          <w:tcPr>
            <w:tcW w:type="dxa" w:w="2780"/>
            <w:tcMar>
              <w:top w:type="dxa" w:w="80"/>
              <w:left w:type="dxa" w:w="100"/>
              <w:bottom w:type="dxa" w:w="80"/>
              <w:right w:type="dxa" w:w="100"/>
            </w:tcMar>
          </w:tcPr>
          <w:p>
            <w:pPr>
              <w:jc w:val="left"/>
            </w:pPr>
            <w:r>
              <w:rPr>
                <w:b w:val="false"/>
                <w:bCs w:val="false"/>
                <w:color w:val="000000"/>
                <w:sz w:val="20"/>
                <w:szCs w:val="20"/>
              </w:rPr>
              <w:t xml:space="preserve">Thamboola Bags</w:t>
            </w:r>
          </w:p>
        </w:tc>
        <w:tc>
          <w:tcPr>
            <w:tcW w:type="dxa" w:w="4000"/>
            <w:tcMar>
              <w:top w:type="dxa" w:w="80"/>
              <w:left w:type="dxa" w:w="100"/>
              <w:bottom w:type="dxa" w:w="80"/>
              <w:right w:type="dxa" w:w="100"/>
            </w:tcMar>
          </w:tcPr>
          <w:p>
            <w:pPr>
              <w:jc w:val="left"/>
            </w:pPr>
            <w:r>
              <w:rPr>
                <w:b w:val="false"/>
                <w:bCs w:val="false"/>
                <w:color w:val="000000"/>
                <w:sz w:val="20"/>
                <w:szCs w:val="20"/>
              </w:rPr>
              <w:t xml:space="preserve">Readymade cover + printing charge, or customer-supplied cover + printing-only, single/both side</w:t>
            </w:r>
          </w:p>
        </w:tc>
        <w:tc>
          <w:tcPr>
            <w:tcW w:type="dxa" w:w="3300"/>
            <w:tcMar>
              <w:top w:type="dxa" w:w="80"/>
              <w:left w:type="dxa" w:w="100"/>
              <w:bottom w:type="dxa" w:w="80"/>
              <w:right w:type="dxa" w:w="100"/>
            </w:tcMar>
          </w:tcPr>
          <w:p>
            <w:pPr>
              <w:jc w:val="left"/>
            </w:pPr>
            <w:r>
              <w:rPr>
                <w:b w:val="false"/>
                <w:bCs w:val="false"/>
                <w:color w:val="000000"/>
                <w:sz w:val="20"/>
                <w:szCs w:val="20"/>
              </w:rPr>
              <w:t xml:space="preserve">Cover rate + printing charge</w:t>
            </w:r>
          </w:p>
        </w:tc>
      </w:tr>
    </w:tbl>
    <w:p>
      <w:pPr>
        <w:pStyle w:val="Heading2"/>
        <w:spacing w:after="140" w:before="280"/>
      </w:pPr>
      <w:r>
        <w:t xml:space="preserve">3.1 Production workflow signals in the PDF</w:t>
      </w:r>
    </w:p>
    <w:p>
      <w:pPr>
        <w:spacing w:after="160"/>
      </w:pPr>
      <w:r>
        <w:t xml:space="preserve">The PDF also encodes an operational workflow that the software must track as a job moves through the shop, independent of pricing:</w:t>
      </w:r>
    </w:p>
    <w:p>
      <w:pPr>
        <w:pStyle w:val="ListParagraph"/>
        <w:numPr>
          <w:ilvl w:val="0"/>
          <w:numId w:val="2"/>
        </w:numPr>
        <w:spacing w:after="80"/>
      </w:pPr>
      <w:r>
        <w:t xml:space="preserve">Order intake fields: date, mobile no. + alternate mobile no., address, order-taken-by.</w:t>
      </w:r>
    </w:p>
    <w:p>
      <w:pPr>
        <w:pStyle w:val="ListParagraph"/>
        <w:numPr>
          <w:ilvl w:val="0"/>
          <w:numId w:val="2"/>
        </w:numPr>
        <w:spacing w:after="80"/>
      </w:pPr>
      <w:r>
        <w:t xml:space="preserve">Production stages as checkable/assignable fields: DTP, Machine Man, Rubber Stamp, Numbering, Binding, Proof Verified – Customer, Proof Verified – Press (appears twice, suggesting a two-step press proof).</w:t>
      </w:r>
    </w:p>
    <w:p>
      <w:pPr>
        <w:pStyle w:val="ListParagraph"/>
        <w:numPr>
          <w:ilvl w:val="0"/>
          <w:numId w:val="2"/>
        </w:numPr>
        <w:spacing w:after="80"/>
      </w:pPr>
      <w:r>
        <w:t xml:space="preserve">Status &amp; alerting: a “Job Status” board, a daily morning reminder, and a blinking indicator for delivery date/time and payment due — i.e. the system must proactively surface at-risk jobs, not just store data.</w:t>
      </w:r>
    </w:p>
    <w:p>
      <w:pPr>
        <w:pStyle w:val="Heading2"/>
        <w:spacing w:after="140" w:before="280"/>
      </w:pPr>
      <w:r>
        <w:t xml:space="preserve">3.2 Financial / accounts signals in the PDF</w:t>
      </w:r>
    </w:p>
    <w:p>
      <w:pPr>
        <w:pStyle w:val="ListParagraph"/>
        <w:numPr>
          <w:ilvl w:val="0"/>
          <w:numId w:val="2"/>
        </w:numPr>
        <w:spacing w:after="80"/>
      </w:pPr>
      <w:r>
        <w:t xml:space="preserve">Cash-in-hand and cash-in-bank, with cash deposits and a full cheque lifecycle (cheque issued, cheque no., cheque date, issuing branch, deposit date).</w:t>
      </w:r>
    </w:p>
    <w:p>
      <w:pPr>
        <w:pStyle w:val="ListParagraph"/>
        <w:numPr>
          <w:ilvl w:val="0"/>
          <w:numId w:val="2"/>
        </w:numPr>
        <w:spacing w:after="80"/>
      </w:pPr>
      <w:r>
        <w:t xml:space="preserve">Stock value tracked per vendor bill (bill no., vendor name, cash value, paid/balance) — i.e. a purchase/vendor ledger, plus a low-stock alert.</w:t>
      </w:r>
    </w:p>
    <w:p>
      <w:pPr>
        <w:pStyle w:val="ListParagraph"/>
        <w:numPr>
          <w:ilvl w:val="0"/>
          <w:numId w:val="2"/>
        </w:numPr>
        <w:spacing w:after="80"/>
      </w:pPr>
      <w:r>
        <w:t xml:space="preserve">Order-level cash tracking: open orders, sales order amount, paid/balance.</w:t>
      </w:r>
    </w:p>
    <w:p>
      <w:pPr>
        <w:pStyle w:val="ListParagraph"/>
        <w:numPr>
          <w:ilvl w:val="0"/>
          <w:numId w:val="2"/>
        </w:numPr>
        <w:spacing w:after="80"/>
      </w:pPr>
      <w:r>
        <w:t xml:space="preserve">Document types: Quotation, Estimate, Job Card, Delivery Challan (as Cash Bill or GST Tax Bill), Sales Tax Invoice, Cash Bill.</w:t>
      </w:r>
    </w:p>
    <w:p>
      <w:pPr>
        <w:pStyle w:val="ListParagraph"/>
        <w:numPr>
          <w:ilvl w:val="0"/>
          <w:numId w:val="2"/>
        </w:numPr>
        <w:spacing w:after="80"/>
      </w:pPr>
      <w:r>
        <w:t xml:space="preserve">Sales and Expense analytics broken into Daily / Weekly / Monthly / Yearly graphs.</w:t>
      </w:r>
    </w:p>
    <w:p>
      <w:pPr>
        <w:pStyle w:val="Heading1"/>
        <w:spacing w:after="180" w:before="360"/>
      </w:pPr>
      <w:r>
        <w:t xml:space="preserve">4. Benchmark: What MNC-Grade Billing / Print-MIS Platforms Provide</w:t>
      </w:r>
    </w:p>
    <w:p>
      <w:pPr>
        <w:spacing w:after="160"/>
      </w:pPr>
      <w:r>
        <w:t xml:space="preserve">To set the quality bar, the table below summarises the feature areas covered by category-leading platforms: two purpose-built print-industry MIS systems (PrintSmith Vision and ePS/EFI PACE) and three general enterprise billing/accounting platforms widely used by mid-size and large Indian businesses (Zoho Books, Odoo, Tally/Vyapar). None of these is printing-specific and configurable enough out of the box for Sri Jayam Printers' catalogue, which is why a custom pricing engine (Section 6) is still required — but their module boundaries are a good target shape.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3880"/>
      </w:tblGrid>
      <w:tr>
        <w:trPr>
          <w:tblHeader/>
        </w:trPr>
        <w:tc>
          <w:tcPr>
            <w:tcW w:type="dxa" w:w="2500"/>
            <w:shd w:fill="1F3864" w:val="clear"/>
            <w:tcMar>
              <w:top w:type="dxa" w:w="80"/>
              <w:left w:type="dxa" w:w="100"/>
              <w:bottom w:type="dxa" w:w="80"/>
              <w:right w:type="dxa" w:w="100"/>
            </w:tcMar>
          </w:tcPr>
          <w:p>
            <w:pPr>
              <w:jc w:val="left"/>
            </w:pPr>
            <w:r>
              <w:rPr>
                <w:b/>
                <w:bCs/>
                <w:color w:val="FFFFFF"/>
                <w:sz w:val="20"/>
                <w:szCs w:val="20"/>
              </w:rPr>
              <w:t xml:space="preserve">Feature Area</w:t>
            </w:r>
          </w:p>
        </w:tc>
        <w:tc>
          <w:tcPr>
            <w:tcW w:type="dxa" w:w="3700"/>
            <w:shd w:fill="1F3864" w:val="clear"/>
            <w:tcMar>
              <w:top w:type="dxa" w:w="80"/>
              <w:left w:type="dxa" w:w="100"/>
              <w:bottom w:type="dxa" w:w="80"/>
              <w:right w:type="dxa" w:w="100"/>
            </w:tcMar>
          </w:tcPr>
          <w:p>
            <w:pPr>
              <w:jc w:val="left"/>
            </w:pPr>
            <w:r>
              <w:rPr>
                <w:b/>
                <w:bCs/>
                <w:color w:val="FFFFFF"/>
                <w:sz w:val="20"/>
                <w:szCs w:val="20"/>
              </w:rPr>
              <w:t xml:space="preserve">PrintSmith Vision / EFI PACE (print-MIS)</w:t>
            </w:r>
          </w:p>
        </w:tc>
        <w:tc>
          <w:tcPr>
            <w:tcW w:type="dxa" w:w="3880"/>
            <w:shd w:fill="1F3864" w:val="clear"/>
            <w:tcMar>
              <w:top w:type="dxa" w:w="80"/>
              <w:left w:type="dxa" w:w="100"/>
              <w:bottom w:type="dxa" w:w="80"/>
              <w:right w:type="dxa" w:w="100"/>
            </w:tcMar>
          </w:tcPr>
          <w:p>
            <w:pPr>
              <w:jc w:val="left"/>
            </w:pPr>
            <w:r>
              <w:rPr>
                <w:b/>
                <w:bCs/>
                <w:color w:val="FFFFFF"/>
                <w:sz w:val="20"/>
                <w:szCs w:val="20"/>
              </w:rPr>
              <w:t xml:space="preserve">Zoho Books / Odoo / Tally / Vyapar (general billing)</w:t>
            </w:r>
          </w:p>
        </w:tc>
      </w:tr>
      <w:tr>
        <w:tc>
          <w:tcPr>
            <w:tcW w:type="dxa" w:w="2500"/>
            <w:tcMar>
              <w:top w:type="dxa" w:w="80"/>
              <w:left w:type="dxa" w:w="100"/>
              <w:bottom w:type="dxa" w:w="80"/>
              <w:right w:type="dxa" w:w="100"/>
            </w:tcMar>
          </w:tcPr>
          <w:p>
            <w:pPr>
              <w:jc w:val="left"/>
            </w:pPr>
            <w:r>
              <w:rPr>
                <w:b w:val="false"/>
                <w:bCs w:val="false"/>
                <w:color w:val="000000"/>
                <w:sz w:val="20"/>
                <w:szCs w:val="20"/>
              </w:rPr>
              <w:t xml:space="preserve">Estimating &amp; quoting</w:t>
            </w:r>
          </w:p>
        </w:tc>
        <w:tc>
          <w:tcPr>
            <w:tcW w:type="dxa" w:w="3700"/>
            <w:tcMar>
              <w:top w:type="dxa" w:w="80"/>
              <w:left w:type="dxa" w:w="100"/>
              <w:bottom w:type="dxa" w:w="80"/>
              <w:right w:type="dxa" w:w="100"/>
            </w:tcMar>
          </w:tcPr>
          <w:p>
            <w:pPr>
              <w:jc w:val="left"/>
            </w:pPr>
            <w:r>
              <w:rPr>
                <w:b w:val="false"/>
                <w:bCs w:val="false"/>
                <w:color w:val="000000"/>
                <w:sz w:val="20"/>
                <w:szCs w:val="20"/>
              </w:rPr>
              <w:t xml:space="preserve">Auto-optimised estimates by press, material &amp; operation cost; templated quotes</w:t>
            </w:r>
          </w:p>
        </w:tc>
        <w:tc>
          <w:tcPr>
            <w:tcW w:type="dxa" w:w="3880"/>
            <w:tcMar>
              <w:top w:type="dxa" w:w="80"/>
              <w:left w:type="dxa" w:w="100"/>
              <w:bottom w:type="dxa" w:w="80"/>
              <w:right w:type="dxa" w:w="100"/>
            </w:tcMar>
          </w:tcPr>
          <w:p>
            <w:pPr>
              <w:jc w:val="left"/>
            </w:pPr>
            <w:r>
              <w:rPr>
                <w:b w:val="false"/>
                <w:bCs w:val="false"/>
                <w:color w:val="000000"/>
                <w:sz w:val="20"/>
                <w:szCs w:val="20"/>
              </w:rPr>
              <w:t xml:space="preserve">Manual/line-item quotes; no press/material cost modelling</w:t>
            </w:r>
          </w:p>
        </w:tc>
      </w:tr>
      <w:tr>
        <w:tc>
          <w:tcPr>
            <w:tcW w:type="dxa" w:w="2500"/>
            <w:tcMar>
              <w:top w:type="dxa" w:w="80"/>
              <w:left w:type="dxa" w:w="100"/>
              <w:bottom w:type="dxa" w:w="80"/>
              <w:right w:type="dxa" w:w="100"/>
            </w:tcMar>
          </w:tcPr>
          <w:p>
            <w:pPr>
              <w:jc w:val="left"/>
            </w:pPr>
            <w:r>
              <w:rPr>
                <w:b w:val="false"/>
                <w:bCs w:val="false"/>
                <w:color w:val="000000"/>
                <w:sz w:val="20"/>
                <w:szCs w:val="20"/>
              </w:rPr>
              <w:t xml:space="preserve">Job costing</w:t>
            </w:r>
          </w:p>
        </w:tc>
        <w:tc>
          <w:tcPr>
            <w:tcW w:type="dxa" w:w="3700"/>
            <w:tcMar>
              <w:top w:type="dxa" w:w="80"/>
              <w:left w:type="dxa" w:w="100"/>
              <w:bottom w:type="dxa" w:w="80"/>
              <w:right w:type="dxa" w:w="100"/>
            </w:tcMar>
          </w:tcPr>
          <w:p>
            <w:pPr>
              <w:jc w:val="left"/>
            </w:pPr>
            <w:r>
              <w:rPr>
                <w:b w:val="false"/>
                <w:bCs w:val="false"/>
                <w:color w:val="000000"/>
                <w:sz w:val="20"/>
                <w:szCs w:val="20"/>
              </w:rPr>
              <w:t xml:space="preserve">Core strength — margin management per job, shop-floor data collection in real time</w:t>
            </w:r>
          </w:p>
        </w:tc>
        <w:tc>
          <w:tcPr>
            <w:tcW w:type="dxa" w:w="3880"/>
            <w:tcMar>
              <w:top w:type="dxa" w:w="80"/>
              <w:left w:type="dxa" w:w="100"/>
              <w:bottom w:type="dxa" w:w="80"/>
              <w:right w:type="dxa" w:w="100"/>
            </w:tcMar>
          </w:tcPr>
          <w:p>
            <w:pPr>
              <w:jc w:val="left"/>
            </w:pPr>
            <w:r>
              <w:rPr>
                <w:b w:val="false"/>
                <w:bCs w:val="false"/>
                <w:color w:val="000000"/>
                <w:sz w:val="20"/>
                <w:szCs w:val="20"/>
              </w:rPr>
              <w:t xml:space="preserve">Not print-specific; project/job costing exists in Odoo but generic</w:t>
            </w:r>
          </w:p>
        </w:tc>
      </w:tr>
      <w:tr>
        <w:tc>
          <w:tcPr>
            <w:tcW w:type="dxa" w:w="2500"/>
            <w:tcMar>
              <w:top w:type="dxa" w:w="80"/>
              <w:left w:type="dxa" w:w="100"/>
              <w:bottom w:type="dxa" w:w="80"/>
              <w:right w:type="dxa" w:w="100"/>
            </w:tcMar>
          </w:tcPr>
          <w:p>
            <w:pPr>
              <w:jc w:val="left"/>
            </w:pPr>
            <w:r>
              <w:rPr>
                <w:b w:val="false"/>
                <w:bCs w:val="false"/>
                <w:color w:val="000000"/>
                <w:sz w:val="20"/>
                <w:szCs w:val="20"/>
              </w:rPr>
              <w:t xml:space="preserve">Order &amp; production tracking</w:t>
            </w:r>
          </w:p>
        </w:tc>
        <w:tc>
          <w:tcPr>
            <w:tcW w:type="dxa" w:w="3700"/>
            <w:tcMar>
              <w:top w:type="dxa" w:w="80"/>
              <w:left w:type="dxa" w:w="100"/>
              <w:bottom w:type="dxa" w:w="80"/>
              <w:right w:type="dxa" w:w="100"/>
            </w:tcMar>
          </w:tcPr>
          <w:p>
            <w:pPr>
              <w:jc w:val="left"/>
            </w:pPr>
            <w:r>
              <w:rPr>
                <w:b w:val="false"/>
                <w:bCs w:val="false"/>
                <w:color w:val="000000"/>
                <w:sz w:val="20"/>
                <w:szCs w:val="20"/>
              </w:rPr>
              <w:t xml:space="preserve">Order processing, scheduling, shop-floor capture</w:t>
            </w:r>
          </w:p>
        </w:tc>
        <w:tc>
          <w:tcPr>
            <w:tcW w:type="dxa" w:w="3880"/>
            <w:tcMar>
              <w:top w:type="dxa" w:w="80"/>
              <w:left w:type="dxa" w:w="100"/>
              <w:bottom w:type="dxa" w:w="80"/>
              <w:right w:type="dxa" w:w="100"/>
            </w:tcMar>
          </w:tcPr>
          <w:p>
            <w:pPr>
              <w:jc w:val="left"/>
            </w:pPr>
            <w:r>
              <w:rPr>
                <w:b w:val="false"/>
                <w:bCs w:val="false"/>
                <w:color w:val="000000"/>
                <w:sz w:val="20"/>
                <w:szCs w:val="20"/>
              </w:rPr>
              <w:t xml:space="preserve">Limited to generic sales-order status</w:t>
            </w:r>
          </w:p>
        </w:tc>
      </w:tr>
      <w:tr>
        <w:tc>
          <w:tcPr>
            <w:tcW w:type="dxa" w:w="2500"/>
            <w:tcMar>
              <w:top w:type="dxa" w:w="80"/>
              <w:left w:type="dxa" w:w="100"/>
              <w:bottom w:type="dxa" w:w="80"/>
              <w:right w:type="dxa" w:w="100"/>
            </w:tcMar>
          </w:tcPr>
          <w:p>
            <w:pPr>
              <w:jc w:val="left"/>
            </w:pPr>
            <w:r>
              <w:rPr>
                <w:b w:val="false"/>
                <w:bCs w:val="false"/>
                <w:color w:val="000000"/>
                <w:sz w:val="20"/>
                <w:szCs w:val="20"/>
              </w:rPr>
              <w:t xml:space="preserve">Billing / invoicing &amp; GST</w:t>
            </w:r>
          </w:p>
        </w:tc>
        <w:tc>
          <w:tcPr>
            <w:tcW w:type="dxa" w:w="3700"/>
            <w:tcMar>
              <w:top w:type="dxa" w:w="80"/>
              <w:left w:type="dxa" w:w="100"/>
              <w:bottom w:type="dxa" w:w="80"/>
              <w:right w:type="dxa" w:w="100"/>
            </w:tcMar>
          </w:tcPr>
          <w:p>
            <w:pPr>
              <w:jc w:val="left"/>
            </w:pPr>
            <w:r>
              <w:rPr>
                <w:b w:val="false"/>
                <w:bCs w:val="false"/>
                <w:color w:val="000000"/>
                <w:sz w:val="20"/>
                <w:szCs w:val="20"/>
              </w:rPr>
              <w:t xml:space="preserve">Billing integrated with accounting</w:t>
            </w:r>
          </w:p>
        </w:tc>
        <w:tc>
          <w:tcPr>
            <w:tcW w:type="dxa" w:w="3880"/>
            <w:tcMar>
              <w:top w:type="dxa" w:w="80"/>
              <w:left w:type="dxa" w:w="100"/>
              <w:bottom w:type="dxa" w:w="80"/>
              <w:right w:type="dxa" w:w="100"/>
            </w:tcMar>
          </w:tcPr>
          <w:p>
            <w:pPr>
              <w:jc w:val="left"/>
            </w:pPr>
            <w:r>
              <w:rPr>
                <w:b w:val="false"/>
                <w:bCs w:val="false"/>
                <w:color w:val="000000"/>
                <w:sz w:val="20"/>
                <w:szCs w:val="20"/>
              </w:rPr>
              <w:t xml:space="preserve">Strong: GSTR-1/3B e-invoicing, e-way bills (Zoho Books, HostBooks, ClearTax-grade)</w:t>
            </w:r>
          </w:p>
        </w:tc>
      </w:tr>
      <w:tr>
        <w:tc>
          <w:tcPr>
            <w:tcW w:type="dxa" w:w="2500"/>
            <w:tcMar>
              <w:top w:type="dxa" w:w="80"/>
              <w:left w:type="dxa" w:w="100"/>
              <w:bottom w:type="dxa" w:w="80"/>
              <w:right w:type="dxa" w:w="100"/>
            </w:tcMar>
          </w:tcPr>
          <w:p>
            <w:pPr>
              <w:jc w:val="left"/>
            </w:pPr>
            <w:r>
              <w:rPr>
                <w:b w:val="false"/>
                <w:bCs w:val="false"/>
                <w:color w:val="000000"/>
                <w:sz w:val="20"/>
                <w:szCs w:val="20"/>
              </w:rPr>
              <w:t xml:space="preserve">Inventory &amp; multi-branch</w:t>
            </w:r>
          </w:p>
        </w:tc>
        <w:tc>
          <w:tcPr>
            <w:tcW w:type="dxa" w:w="3700"/>
            <w:tcMar>
              <w:top w:type="dxa" w:w="80"/>
              <w:left w:type="dxa" w:w="100"/>
              <w:bottom w:type="dxa" w:w="80"/>
              <w:right w:type="dxa" w:w="100"/>
            </w:tcMar>
          </w:tcPr>
          <w:p>
            <w:pPr>
              <w:jc w:val="left"/>
            </w:pPr>
            <w:r>
              <w:rPr>
                <w:b w:val="false"/>
                <w:bCs w:val="false"/>
                <w:color w:val="000000"/>
                <w:sz w:val="20"/>
                <w:szCs w:val="20"/>
              </w:rPr>
              <w:t xml:space="preserve">Purchase-order management</w:t>
            </w:r>
          </w:p>
        </w:tc>
        <w:tc>
          <w:tcPr>
            <w:tcW w:type="dxa" w:w="3880"/>
            <w:tcMar>
              <w:top w:type="dxa" w:w="80"/>
              <w:left w:type="dxa" w:w="100"/>
              <w:bottom w:type="dxa" w:w="80"/>
              <w:right w:type="dxa" w:w="100"/>
            </w:tcMar>
          </w:tcPr>
          <w:p>
            <w:pPr>
              <w:jc w:val="left"/>
            </w:pPr>
            <w:r>
              <w:rPr>
                <w:b w:val="false"/>
                <w:bCs w:val="false"/>
                <w:color w:val="000000"/>
                <w:sz w:val="20"/>
                <w:szCs w:val="20"/>
              </w:rPr>
              <w:t xml:space="preserve">Real-time inventory, multi-branch, centralised cloud access (Zoho Books, Odoo)</w:t>
            </w:r>
          </w:p>
        </w:tc>
      </w:tr>
      <w:tr>
        <w:tc>
          <w:tcPr>
            <w:tcW w:type="dxa" w:w="2500"/>
            <w:tcMar>
              <w:top w:type="dxa" w:w="80"/>
              <w:left w:type="dxa" w:w="100"/>
              <w:bottom w:type="dxa" w:w="80"/>
              <w:right w:type="dxa" w:w="100"/>
            </w:tcMar>
          </w:tcPr>
          <w:p>
            <w:pPr>
              <w:jc w:val="left"/>
            </w:pPr>
            <w:r>
              <w:rPr>
                <w:b w:val="false"/>
                <w:bCs w:val="false"/>
                <w:color w:val="000000"/>
                <w:sz w:val="20"/>
                <w:szCs w:val="20"/>
              </w:rPr>
              <w:t xml:space="preserve">Reporting &amp; dashboards</w:t>
            </w:r>
          </w:p>
        </w:tc>
        <w:tc>
          <w:tcPr>
            <w:tcW w:type="dxa" w:w="3700"/>
            <w:tcMar>
              <w:top w:type="dxa" w:w="80"/>
              <w:left w:type="dxa" w:w="100"/>
              <w:bottom w:type="dxa" w:w="80"/>
              <w:right w:type="dxa" w:w="100"/>
            </w:tcMar>
          </w:tcPr>
          <w:p>
            <w:pPr>
              <w:jc w:val="left"/>
            </w:pPr>
            <w:r>
              <w:rPr>
                <w:b w:val="false"/>
                <w:bCs w:val="false"/>
                <w:color w:val="000000"/>
                <w:sz w:val="20"/>
                <w:szCs w:val="20"/>
              </w:rPr>
              <w:t xml:space="preserve">Customisable templates &amp; reports, AP/AR reporting</w:t>
            </w:r>
          </w:p>
        </w:tc>
        <w:tc>
          <w:tcPr>
            <w:tcW w:type="dxa" w:w="3880"/>
            <w:tcMar>
              <w:top w:type="dxa" w:w="80"/>
              <w:left w:type="dxa" w:w="100"/>
              <w:bottom w:type="dxa" w:w="80"/>
              <w:right w:type="dxa" w:w="100"/>
            </w:tcMar>
          </w:tcPr>
          <w:p>
            <w:pPr>
              <w:jc w:val="left"/>
            </w:pPr>
            <w:r>
              <w:rPr>
                <w:b w:val="false"/>
                <w:bCs w:val="false"/>
                <w:color w:val="000000"/>
                <w:sz w:val="20"/>
                <w:szCs w:val="20"/>
              </w:rPr>
              <w:t xml:space="preserve">Advanced financial dashboards, real-time insights (Zoho Books &gt; Tally)</w:t>
            </w:r>
          </w:p>
        </w:tc>
      </w:tr>
      <w:tr>
        <w:tc>
          <w:tcPr>
            <w:tcW w:type="dxa" w:w="2500"/>
            <w:tcMar>
              <w:top w:type="dxa" w:w="80"/>
              <w:left w:type="dxa" w:w="100"/>
              <w:bottom w:type="dxa" w:w="80"/>
              <w:right w:type="dxa" w:w="100"/>
            </w:tcMar>
          </w:tcPr>
          <w:p>
            <w:pPr>
              <w:jc w:val="left"/>
            </w:pPr>
            <w:r>
              <w:rPr>
                <w:b w:val="false"/>
                <w:bCs w:val="false"/>
                <w:color w:val="000000"/>
                <w:sz w:val="20"/>
                <w:szCs w:val="20"/>
              </w:rPr>
              <w:t xml:space="preserve">Mobile / offline access</w:t>
            </w:r>
          </w:p>
        </w:tc>
        <w:tc>
          <w:tcPr>
            <w:tcW w:type="dxa" w:w="3700"/>
            <w:tcMar>
              <w:top w:type="dxa" w:w="80"/>
              <w:left w:type="dxa" w:w="100"/>
              <w:bottom w:type="dxa" w:w="80"/>
              <w:right w:type="dxa" w:w="100"/>
            </w:tcMar>
          </w:tcPr>
          <w:p>
            <w:pPr>
              <w:jc w:val="left"/>
            </w:pPr>
            <w:r>
              <w:rPr>
                <w:b w:val="false"/>
                <w:bCs w:val="false"/>
                <w:color w:val="000000"/>
                <w:sz w:val="20"/>
                <w:szCs w:val="20"/>
              </w:rPr>
              <w:t xml:space="preserve">Limited</w:t>
            </w:r>
          </w:p>
        </w:tc>
        <w:tc>
          <w:tcPr>
            <w:tcW w:type="dxa" w:w="3880"/>
            <w:tcMar>
              <w:top w:type="dxa" w:w="80"/>
              <w:left w:type="dxa" w:w="100"/>
              <w:bottom w:type="dxa" w:w="80"/>
              <w:right w:type="dxa" w:w="100"/>
            </w:tcMar>
          </w:tcPr>
          <w:p>
            <w:pPr>
              <w:jc w:val="left"/>
            </w:pPr>
            <w:r>
              <w:rPr>
                <w:b w:val="false"/>
                <w:bCs w:val="false"/>
                <w:color w:val="000000"/>
                <w:sz w:val="20"/>
                <w:szCs w:val="20"/>
              </w:rPr>
              <w:t xml:space="preserve">Vyapar/Tally: offline-first mobile + desktop; take orders &amp; invoice on the go</w:t>
            </w:r>
          </w:p>
        </w:tc>
      </w:tr>
      <w:tr>
        <w:tc>
          <w:tcPr>
            <w:tcW w:type="dxa" w:w="2500"/>
            <w:tcMar>
              <w:top w:type="dxa" w:w="80"/>
              <w:left w:type="dxa" w:w="100"/>
              <w:bottom w:type="dxa" w:w="80"/>
              <w:right w:type="dxa" w:w="100"/>
            </w:tcMar>
          </w:tcPr>
          <w:p>
            <w:pPr>
              <w:jc w:val="left"/>
            </w:pPr>
            <w:r>
              <w:rPr>
                <w:b w:val="false"/>
                <w:bCs w:val="false"/>
                <w:color w:val="000000"/>
                <w:sz w:val="20"/>
                <w:szCs w:val="20"/>
              </w:rPr>
              <w:t xml:space="preserve">Extensibility</w:t>
            </w:r>
          </w:p>
        </w:tc>
        <w:tc>
          <w:tcPr>
            <w:tcW w:type="dxa" w:w="3700"/>
            <w:tcMar>
              <w:top w:type="dxa" w:w="80"/>
              <w:left w:type="dxa" w:w="100"/>
              <w:bottom w:type="dxa" w:w="80"/>
              <w:right w:type="dxa" w:w="100"/>
            </w:tcMar>
          </w:tcPr>
          <w:p>
            <w:pPr>
              <w:jc w:val="left"/>
            </w:pPr>
            <w:r>
              <w:rPr>
                <w:b w:val="false"/>
                <w:bCs w:val="false"/>
                <w:color w:val="000000"/>
                <w:sz w:val="20"/>
                <w:szCs w:val="20"/>
              </w:rPr>
              <w:t xml:space="preserve">API access, Universal Importer, user-defined fields (EFI PACE)</w:t>
            </w:r>
          </w:p>
        </w:tc>
        <w:tc>
          <w:tcPr>
            <w:tcW w:type="dxa" w:w="3880"/>
            <w:tcMar>
              <w:top w:type="dxa" w:w="80"/>
              <w:left w:type="dxa" w:w="100"/>
              <w:bottom w:type="dxa" w:w="80"/>
              <w:right w:type="dxa" w:w="100"/>
            </w:tcMar>
          </w:tcPr>
          <w:p>
            <w:pPr>
              <w:jc w:val="left"/>
            </w:pPr>
            <w:r>
              <w:rPr>
                <w:b w:val="false"/>
                <w:bCs w:val="false"/>
                <w:color w:val="000000"/>
                <w:sz w:val="20"/>
                <w:szCs w:val="20"/>
              </w:rPr>
              <w:t xml:space="preserve">Odoo: modular apps, highly customisable; Zoho: app marketplace</w:t>
            </w:r>
          </w:p>
        </w:tc>
      </w:tr>
    </w:tbl>
    <w:p>
      <w:pPr>
        <w:spacing w:after="160"/>
      </w:pPr>
      <w:r>
        <w:rPr>
          <w:i/>
          <w:iCs/>
        </w:rPr>
        <w:t xml:space="preserve">Recommendation: adopt the print-MIS discipline of job costing + shop-floor tracking (PrintSmith/PACE) as the production backbone, and the general-billing discipline of GST-correct invoicing + multi-branch + real-time dashboards + offline-capable mobile (Zoho/Odoo/Vyapar/Tally) as the finance-and-access backbone. Sri Jayam Printers' own configurable-product pricing engine sits in between, since none of the benchmarked platforms model the fraction-size × GSM × paper-brand rate matrices your rate card requires.</w:t>
      </w:r>
    </w:p>
    <w:p>
      <w:pPr>
        <w:pStyle w:val="Heading1"/>
        <w:spacing w:after="180" w:before="360"/>
      </w:pPr>
      <w:r>
        <w:t xml:space="preserve">5. Recommended Enterprise Feature Set</w:t>
      </w:r>
    </w:p>
    <w:p>
      <w:pPr>
        <w:pStyle w:val="Heading2"/>
        <w:spacing w:after="140" w:before="280"/>
      </w:pPr>
      <w:r>
        <w:t xml:space="preserve">5.1 Sales &amp; Documents</w:t>
      </w:r>
    </w:p>
    <w:p>
      <w:pPr>
        <w:pStyle w:val="ListParagraph"/>
        <w:numPr>
          <w:ilvl w:val="0"/>
          <w:numId w:val="2"/>
        </w:numPr>
        <w:spacing w:after="80"/>
      </w:pPr>
      <w:r>
        <w:t xml:space="preserve">Party (customer) master with mobile/alt-mobile, address, credit terms, outstanding balance</w:t>
      </w:r>
    </w:p>
    <w:p>
      <w:pPr>
        <w:pStyle w:val="ListParagraph"/>
        <w:numPr>
          <w:ilvl w:val="0"/>
          <w:numId w:val="2"/>
        </w:numPr>
        <w:spacing w:after="80"/>
      </w:pPr>
      <w:r>
        <w:t xml:space="preserve">Quotation → Estimate → Job Card → Delivery Challan (Cash Bill / GST Tax Bill) → Sales Tax Invoice, each auto-numbered, convertible one into the next without re-keying</w:t>
      </w:r>
    </w:p>
    <w:p>
      <w:pPr>
        <w:pStyle w:val="ListParagraph"/>
        <w:numPr>
          <w:ilvl w:val="0"/>
          <w:numId w:val="2"/>
        </w:numPr>
        <w:spacing w:after="80"/>
      </w:pPr>
      <w:r>
        <w:t xml:space="preserve">Cash Bill and GST-compliant Tax Invoice as distinct print templates, with HSN/SAC and tax breakup</w:t>
      </w:r>
    </w:p>
    <w:p>
      <w:pPr>
        <w:pStyle w:val="ListParagraph"/>
        <w:numPr>
          <w:ilvl w:val="0"/>
          <w:numId w:val="2"/>
        </w:numPr>
        <w:spacing w:after="80"/>
      </w:pPr>
      <w:r>
        <w:t xml:space="preserve">Return/adjustment and credit-note handling</w:t>
      </w:r>
    </w:p>
    <w:p>
      <w:pPr>
        <w:pStyle w:val="Heading2"/>
        <w:spacing w:after="140" w:before="280"/>
      </w:pPr>
      <w:r>
        <w:t xml:space="preserve">5.2 Dynamic Product &amp; Pricing Catalogue (the core differentiator)</w:t>
      </w:r>
    </w:p>
    <w:p>
      <w:pPr>
        <w:pStyle w:val="ListParagraph"/>
        <w:numPr>
          <w:ilvl w:val="0"/>
          <w:numId w:val="2"/>
        </w:numPr>
        <w:spacing w:after="80"/>
      </w:pPr>
      <w:r>
        <w:t xml:space="preserve">Attribute-driven product configurator covering every family in Section 3 (size, paper/board, GSM, colour, sides, lamination, finishing, binding, quantity slab)</w:t>
      </w:r>
    </w:p>
    <w:p>
      <w:pPr>
        <w:pStyle w:val="ListParagraph"/>
        <w:numPr>
          <w:ilvl w:val="0"/>
          <w:numId w:val="2"/>
        </w:numPr>
        <w:spacing w:after="80"/>
      </w:pPr>
      <w:r>
        <w:t xml:space="preserve">Rule-based pricing engine: base rate matrices (size × material × quantity-slab) plus additive/multiplicative extras (foiling, embossing, pasting, transport, designing charge)</w:t>
      </w:r>
    </w:p>
    <w:p>
      <w:pPr>
        <w:pStyle w:val="ListParagraph"/>
        <w:numPr>
          <w:ilvl w:val="0"/>
          <w:numId w:val="2"/>
        </w:numPr>
        <w:spacing w:after="80"/>
      </w:pPr>
      <w:r>
        <w:t xml:space="preserve">Fixed-SKU catalogue mode for simple product lines (rubber stamps) alongside the matrix mode for complex ones (invitations, stationery)</w:t>
      </w:r>
    </w:p>
    <w:p>
      <w:pPr>
        <w:pStyle w:val="ListParagraph"/>
        <w:numPr>
          <w:ilvl w:val="0"/>
          <w:numId w:val="2"/>
        </w:numPr>
        <w:spacing w:after="80"/>
      </w:pPr>
      <w:r>
        <w:t xml:space="preserve">Versioned price lists so historical invoices remain accurate when rates change</w:t>
      </w:r>
    </w:p>
    <w:p>
      <w:pPr>
        <w:pStyle w:val="Heading2"/>
        <w:spacing w:after="140" w:before="280"/>
      </w:pPr>
      <w:r>
        <w:t xml:space="preserve">5.3 Production / Job Workflow</w:t>
      </w:r>
    </w:p>
    <w:p>
      <w:pPr>
        <w:pStyle w:val="ListParagraph"/>
        <w:numPr>
          <w:ilvl w:val="0"/>
          <w:numId w:val="2"/>
        </w:numPr>
        <w:spacing w:after="80"/>
      </w:pPr>
      <w:r>
        <w:t xml:space="preserve">Job card with stage checklist: Order Taken → DTP → Proof (Customer) → Proof (Press) → Machine/Print → Finishing (stamp/numbering/binding/lamination/foiling) → Dispatch</w:t>
      </w:r>
    </w:p>
    <w:p>
      <w:pPr>
        <w:pStyle w:val="ListParagraph"/>
        <w:numPr>
          <w:ilvl w:val="0"/>
          <w:numId w:val="2"/>
        </w:numPr>
        <w:spacing w:after="80"/>
      </w:pPr>
      <w:r>
        <w:t xml:space="preserve">Staff assignment per stage, with a live Job Status board (kanban-style)</w:t>
      </w:r>
    </w:p>
    <w:p>
      <w:pPr>
        <w:pStyle w:val="ListParagraph"/>
        <w:numPr>
          <w:ilvl w:val="0"/>
          <w:numId w:val="2"/>
        </w:numPr>
        <w:spacing w:after="80"/>
      </w:pPr>
      <w:r>
        <w:t xml:space="preserve">Delivery date/time with automatic escalation (“blinking” equivalent — push/SMS/WhatsApp alert) as the due date approaches or is overdue</w:t>
      </w:r>
    </w:p>
    <w:p>
      <w:pPr>
        <w:pStyle w:val="ListParagraph"/>
        <w:numPr>
          <w:ilvl w:val="0"/>
          <w:numId w:val="2"/>
        </w:numPr>
        <w:spacing w:after="80"/>
      </w:pPr>
      <w:r>
        <w:t xml:space="preserve">Daily morning digest of jobs due today/overdue and payments pending</w:t>
      </w:r>
    </w:p>
    <w:p>
      <w:pPr>
        <w:pStyle w:val="Heading2"/>
        <w:spacing w:after="140" w:before="280"/>
      </w:pPr>
      <w:r>
        <w:t xml:space="preserve">5.4 Inventory &amp; Vendor Management</w:t>
      </w:r>
    </w:p>
    <w:p>
      <w:pPr>
        <w:pStyle w:val="ListParagraph"/>
        <w:numPr>
          <w:ilvl w:val="0"/>
          <w:numId w:val="2"/>
        </w:numPr>
        <w:spacing w:after="80"/>
      </w:pPr>
      <w:r>
        <w:t xml:space="preserve">Raw-material stock (paper by GSM/brand, board, ink, consumables) with low-stock threshold alerts</w:t>
      </w:r>
    </w:p>
    <w:p>
      <w:pPr>
        <w:pStyle w:val="ListParagraph"/>
        <w:numPr>
          <w:ilvl w:val="0"/>
          <w:numId w:val="2"/>
        </w:numPr>
        <w:spacing w:after="80"/>
      </w:pPr>
      <w:r>
        <w:t xml:space="preserve">Vendor/purchase bills with paid/balance tracking, feeding the stock-value report</w:t>
      </w:r>
    </w:p>
    <w:p>
      <w:pPr>
        <w:pStyle w:val="Heading2"/>
        <w:spacing w:after="140" w:before="280"/>
      </w:pPr>
      <w:r>
        <w:t xml:space="preserve">5.5 Accounts &amp; Finance</w:t>
      </w:r>
    </w:p>
    <w:p>
      <w:pPr>
        <w:pStyle w:val="ListParagraph"/>
        <w:numPr>
          <w:ilvl w:val="0"/>
          <w:numId w:val="2"/>
        </w:numPr>
        <w:spacing w:after="80"/>
      </w:pPr>
      <w:r>
        <w:t xml:space="preserve">Cash-in-hand and cash-in-bank ledgers</w:t>
      </w:r>
    </w:p>
    <w:p>
      <w:pPr>
        <w:pStyle w:val="ListParagraph"/>
        <w:numPr>
          <w:ilvl w:val="0"/>
          <w:numId w:val="2"/>
        </w:numPr>
        <w:spacing w:after="80"/>
      </w:pPr>
      <w:r>
        <w:t xml:space="preserve">Cheque lifecycle: issued / deposited, cheque no., date, issuing branch, deposit date, clearance status</w:t>
      </w:r>
    </w:p>
    <w:p>
      <w:pPr>
        <w:pStyle w:val="ListParagraph"/>
        <w:numPr>
          <w:ilvl w:val="0"/>
          <w:numId w:val="2"/>
        </w:numPr>
        <w:spacing w:after="80"/>
      </w:pPr>
      <w:r>
        <w:t xml:space="preserve">Order-level and party-level paid/balance tracking, with an ageing/outstanding report</w:t>
      </w:r>
    </w:p>
    <w:p>
      <w:pPr>
        <w:pStyle w:val="ListParagraph"/>
        <w:numPr>
          <w:ilvl w:val="0"/>
          <w:numId w:val="2"/>
        </w:numPr>
        <w:spacing w:after="80"/>
      </w:pPr>
      <w:r>
        <w:t xml:space="preserve">GST output (GSTR-1/3B-ready export) and optional integration with an accounting system (Tally/Zoho Books) for statutory filing</w:t>
      </w:r>
    </w:p>
    <w:p>
      <w:pPr>
        <w:pStyle w:val="Heading2"/>
        <w:spacing w:after="140" w:before="280"/>
      </w:pPr>
      <w:r>
        <w:t xml:space="preserve">5.6 Reporting &amp; Analytics</w:t>
      </w:r>
    </w:p>
    <w:p>
      <w:pPr>
        <w:pStyle w:val="ListParagraph"/>
        <w:numPr>
          <w:ilvl w:val="0"/>
          <w:numId w:val="2"/>
        </w:numPr>
        <w:spacing w:after="80"/>
      </w:pPr>
      <w:r>
        <w:t xml:space="preserve">Sales graph and Expense graph, each with Daily / Weekly / Monthly / Yearly views</w:t>
      </w:r>
    </w:p>
    <w:p>
      <w:pPr>
        <w:pStyle w:val="ListParagraph"/>
        <w:numPr>
          <w:ilvl w:val="0"/>
          <w:numId w:val="2"/>
        </w:numPr>
        <w:spacing w:after="80"/>
      </w:pPr>
      <w:r>
        <w:t xml:space="preserve">Product-family profitability (ties job costing to actual paper/finishing cost)</w:t>
      </w:r>
    </w:p>
    <w:p>
      <w:pPr>
        <w:pStyle w:val="ListParagraph"/>
        <w:numPr>
          <w:ilvl w:val="0"/>
          <w:numId w:val="2"/>
        </w:numPr>
        <w:spacing w:after="80"/>
      </w:pPr>
      <w:r>
        <w:t xml:space="preserve">Staff productivity (jobs completed per stage per person)</w:t>
      </w:r>
    </w:p>
    <w:p>
      <w:pPr>
        <w:pStyle w:val="Heading2"/>
        <w:spacing w:after="140" w:before="280"/>
      </w:pPr>
      <w:r>
        <w:t xml:space="preserve">5.7 Platform, Access &amp; Security</w:t>
      </w:r>
    </w:p>
    <w:p>
      <w:pPr>
        <w:pStyle w:val="ListParagraph"/>
        <w:numPr>
          <w:ilvl w:val="0"/>
          <w:numId w:val="2"/>
        </w:numPr>
        <w:spacing w:after="80"/>
      </w:pPr>
      <w:r>
        <w:t xml:space="preserve">Role-based access: Owner/Admin, Counter/Sales, DTP, Production floor, Accounts — each sees only what their role needs</w:t>
      </w:r>
    </w:p>
    <w:p>
      <w:pPr>
        <w:pStyle w:val="ListParagraph"/>
        <w:numPr>
          <w:ilvl w:val="0"/>
          <w:numId w:val="2"/>
        </w:numPr>
        <w:spacing w:after="80"/>
      </w:pPr>
      <w:r>
        <w:t xml:space="preserve">Cloud web app (desktop/counter use) and a native-feel mobile app (order-taking, job-status lookup, delivery/payment alerts, on-the-go quotes) with offline queueing for poor-connectivity moments</w:t>
      </w:r>
    </w:p>
    <w:p>
      <w:pPr>
        <w:pStyle w:val="ListParagraph"/>
        <w:numPr>
          <w:ilvl w:val="0"/>
          <w:numId w:val="2"/>
        </w:numPr>
        <w:spacing w:after="80"/>
      </w:pPr>
      <w:r>
        <w:t xml:space="preserve">Audit trail on every price override, discount, and stage change</w:t>
      </w:r>
    </w:p>
    <w:p>
      <w:pPr>
        <w:pStyle w:val="Heading1"/>
        <w:spacing w:after="180" w:before="360"/>
      </w:pPr>
      <w:r>
        <w:t xml:space="preserve">6. Data Model &amp; Pricing-Engine Design</w:t>
      </w:r>
    </w:p>
    <w:p>
      <w:pPr>
        <w:spacing w:after="160"/>
      </w:pPr>
      <w:r>
        <w:t xml:space="preserve">The pricing engine is the hardest part of this system and should be built as a generic, metadata-driven layer rather than one hard-coded table per product — otherwise every new card size or paper GSM the shop starts stocking requires a code change. The core entities: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4380"/>
      </w:tblGrid>
      <w:tr>
        <w:trPr>
          <w:tblHeader/>
        </w:trPr>
        <w:tc>
          <w:tcPr>
            <w:tcW w:type="dxa" w:w="2100"/>
            <w:shd w:fill="1F3864" w:val="clear"/>
            <w:tcMar>
              <w:top w:type="dxa" w:w="80"/>
              <w:left w:type="dxa" w:w="100"/>
              <w:bottom w:type="dxa" w:w="80"/>
              <w:right w:type="dxa" w:w="100"/>
            </w:tcMar>
          </w:tcPr>
          <w:p>
            <w:pPr>
              <w:jc w:val="left"/>
            </w:pPr>
            <w:r>
              <w:rPr>
                <w:b/>
                <w:bCs/>
                <w:color w:val="FFFFFF"/>
                <w:sz w:val="20"/>
                <w:szCs w:val="20"/>
              </w:rPr>
              <w:t xml:space="preserve">Entity</w:t>
            </w:r>
          </w:p>
        </w:tc>
        <w:tc>
          <w:tcPr>
            <w:tcW w:type="dxa" w:w="3600"/>
            <w:shd w:fill="1F3864" w:val="clear"/>
            <w:tcMar>
              <w:top w:type="dxa" w:w="80"/>
              <w:left w:type="dxa" w:w="100"/>
              <w:bottom w:type="dxa" w:w="80"/>
              <w:right w:type="dxa" w:w="100"/>
            </w:tcMar>
          </w:tcPr>
          <w:p>
            <w:pPr>
              <w:jc w:val="left"/>
            </w:pPr>
            <w:r>
              <w:rPr>
                <w:b/>
                <w:bCs/>
                <w:color w:val="FFFFFF"/>
                <w:sz w:val="20"/>
                <w:szCs w:val="20"/>
              </w:rPr>
              <w:t xml:space="preserve">Purpose</w:t>
            </w:r>
          </w:p>
        </w:tc>
        <w:tc>
          <w:tcPr>
            <w:tcW w:type="dxa" w:w="4380"/>
            <w:shd w:fill="1F3864" w:val="clear"/>
            <w:tcMar>
              <w:top w:type="dxa" w:w="80"/>
              <w:left w:type="dxa" w:w="100"/>
              <w:bottom w:type="dxa" w:w="80"/>
              <w:right w:type="dxa" w:w="100"/>
            </w:tcMar>
          </w:tcPr>
          <w:p>
            <w:pPr>
              <w:jc w:val="left"/>
            </w:pPr>
            <w:r>
              <w:rPr>
                <w:b/>
                <w:bCs/>
                <w:color w:val="FFFFFF"/>
                <w:sz w:val="20"/>
                <w:szCs w:val="20"/>
              </w:rPr>
              <w:t xml:space="preserve">Example</w:t>
            </w:r>
          </w:p>
        </w:tc>
      </w:tr>
      <w:tr>
        <w:tc>
          <w:tcPr>
            <w:tcW w:type="dxa" w:w="2100"/>
            <w:tcMar>
              <w:top w:type="dxa" w:w="80"/>
              <w:left w:type="dxa" w:w="100"/>
              <w:bottom w:type="dxa" w:w="80"/>
              <w:right w:type="dxa" w:w="100"/>
            </w:tcMar>
          </w:tcPr>
          <w:p>
            <w:pPr>
              <w:jc w:val="left"/>
            </w:pPr>
            <w:r>
              <w:rPr>
                <w:b w:val="false"/>
                <w:bCs w:val="false"/>
                <w:color w:val="000000"/>
                <w:sz w:val="20"/>
                <w:szCs w:val="20"/>
              </w:rPr>
              <w:t xml:space="preserve">ProductCategory</w:t>
            </w:r>
          </w:p>
        </w:tc>
        <w:tc>
          <w:tcPr>
            <w:tcW w:type="dxa" w:w="3600"/>
            <w:tcMar>
              <w:top w:type="dxa" w:w="80"/>
              <w:left w:type="dxa" w:w="100"/>
              <w:bottom w:type="dxa" w:w="80"/>
              <w:right w:type="dxa" w:w="100"/>
            </w:tcMar>
          </w:tcPr>
          <w:p>
            <w:pPr>
              <w:jc w:val="left"/>
            </w:pPr>
            <w:r>
              <w:rPr>
                <w:b w:val="false"/>
                <w:bCs w:val="false"/>
                <w:color w:val="000000"/>
                <w:sz w:val="20"/>
                <w:szCs w:val="20"/>
              </w:rPr>
              <w:t xml:space="preserve">Top-level product family</w:t>
            </w:r>
          </w:p>
        </w:tc>
        <w:tc>
          <w:tcPr>
            <w:tcW w:type="dxa" w:w="4380"/>
            <w:tcMar>
              <w:top w:type="dxa" w:w="80"/>
              <w:left w:type="dxa" w:w="100"/>
              <w:bottom w:type="dxa" w:w="80"/>
              <w:right w:type="dxa" w:w="100"/>
            </w:tcMar>
          </w:tcPr>
          <w:p>
            <w:pPr>
              <w:jc w:val="left"/>
            </w:pPr>
            <w:r>
              <w:rPr>
                <w:b w:val="false"/>
                <w:bCs w:val="false"/>
                <w:color w:val="000000"/>
                <w:sz w:val="20"/>
                <w:szCs w:val="20"/>
              </w:rPr>
              <w:t xml:space="preserve">“Wedding Invitation – Offset”, “Visiting Card”, “Rubber Stamp – Polymer”</w:t>
            </w:r>
          </w:p>
        </w:tc>
      </w:tr>
      <w:tr>
        <w:tc>
          <w:tcPr>
            <w:tcW w:type="dxa" w:w="2100"/>
            <w:tcMar>
              <w:top w:type="dxa" w:w="80"/>
              <w:left w:type="dxa" w:w="100"/>
              <w:bottom w:type="dxa" w:w="80"/>
              <w:right w:type="dxa" w:w="100"/>
            </w:tcMar>
          </w:tcPr>
          <w:p>
            <w:pPr>
              <w:jc w:val="left"/>
            </w:pPr>
            <w:r>
              <w:rPr>
                <w:b w:val="false"/>
                <w:bCs w:val="false"/>
                <w:color w:val="000000"/>
                <w:sz w:val="20"/>
                <w:szCs w:val="20"/>
              </w:rPr>
              <w:t xml:space="preserve">Attribute</w:t>
            </w:r>
          </w:p>
        </w:tc>
        <w:tc>
          <w:tcPr>
            <w:tcW w:type="dxa" w:w="3600"/>
            <w:tcMar>
              <w:top w:type="dxa" w:w="80"/>
              <w:left w:type="dxa" w:w="100"/>
              <w:bottom w:type="dxa" w:w="80"/>
              <w:right w:type="dxa" w:w="100"/>
            </w:tcMar>
          </w:tcPr>
          <w:p>
            <w:pPr>
              <w:jc w:val="left"/>
            </w:pPr>
            <w:r>
              <w:rPr>
                <w:b w:val="false"/>
                <w:bCs w:val="false"/>
                <w:color w:val="000000"/>
                <w:sz w:val="20"/>
                <w:szCs w:val="20"/>
              </w:rPr>
              <w:t xml:space="preserve">A configurable dimension of a category</w:t>
            </w:r>
          </w:p>
        </w:tc>
        <w:tc>
          <w:tcPr>
            <w:tcW w:type="dxa" w:w="4380"/>
            <w:tcMar>
              <w:top w:type="dxa" w:w="80"/>
              <w:left w:type="dxa" w:w="100"/>
              <w:bottom w:type="dxa" w:w="80"/>
              <w:right w:type="dxa" w:w="100"/>
            </w:tcMar>
          </w:tcPr>
          <w:p>
            <w:pPr>
              <w:jc w:val="left"/>
            </w:pPr>
            <w:r>
              <w:rPr>
                <w:b w:val="false"/>
                <w:bCs w:val="false"/>
                <w:color w:val="000000"/>
                <w:sz w:val="20"/>
                <w:szCs w:val="20"/>
              </w:rPr>
              <w:t xml:space="preserve">Size, Paper/Board, GSM, Colour, Side, Lamination, Binding, Special Work</w:t>
            </w:r>
          </w:p>
        </w:tc>
      </w:tr>
      <w:tr>
        <w:tc>
          <w:tcPr>
            <w:tcW w:type="dxa" w:w="2100"/>
            <w:tcMar>
              <w:top w:type="dxa" w:w="80"/>
              <w:left w:type="dxa" w:w="100"/>
              <w:bottom w:type="dxa" w:w="80"/>
              <w:right w:type="dxa" w:w="100"/>
            </w:tcMar>
          </w:tcPr>
          <w:p>
            <w:pPr>
              <w:jc w:val="left"/>
            </w:pPr>
            <w:r>
              <w:rPr>
                <w:b w:val="false"/>
                <w:bCs w:val="false"/>
                <w:color w:val="000000"/>
                <w:sz w:val="20"/>
                <w:szCs w:val="20"/>
              </w:rPr>
              <w:t xml:space="preserve">AttributeOption</w:t>
            </w:r>
          </w:p>
        </w:tc>
        <w:tc>
          <w:tcPr>
            <w:tcW w:type="dxa" w:w="3600"/>
            <w:tcMar>
              <w:top w:type="dxa" w:w="80"/>
              <w:left w:type="dxa" w:w="100"/>
              <w:bottom w:type="dxa" w:w="80"/>
              <w:right w:type="dxa" w:w="100"/>
            </w:tcMar>
          </w:tcPr>
          <w:p>
            <w:pPr>
              <w:jc w:val="left"/>
            </w:pPr>
            <w:r>
              <w:rPr>
                <w:b w:val="false"/>
                <w:bCs w:val="false"/>
                <w:color w:val="000000"/>
                <w:sz w:val="20"/>
                <w:szCs w:val="20"/>
              </w:rPr>
              <w:t xml:space="preserve">Allowed value for an attribute, optionally with its own cost delta</w:t>
            </w:r>
          </w:p>
        </w:tc>
        <w:tc>
          <w:tcPr>
            <w:tcW w:type="dxa" w:w="4380"/>
            <w:tcMar>
              <w:top w:type="dxa" w:w="80"/>
              <w:left w:type="dxa" w:w="100"/>
              <w:bottom w:type="dxa" w:w="80"/>
              <w:right w:type="dxa" w:w="100"/>
            </w:tcMar>
          </w:tcPr>
          <w:p>
            <w:pPr>
              <w:jc w:val="left"/>
            </w:pPr>
            <w:r>
              <w:rPr>
                <w:b w:val="false"/>
                <w:bCs w:val="false"/>
                <w:color w:val="000000"/>
                <w:sz w:val="20"/>
                <w:szCs w:val="20"/>
              </w:rPr>
              <w:t xml:space="preserve">GSM = 130; Lamination = “3D” (+₹2/pc)</w:t>
            </w:r>
          </w:p>
        </w:tc>
      </w:tr>
      <w:tr>
        <w:tc>
          <w:tcPr>
            <w:tcW w:type="dxa" w:w="2100"/>
            <w:tcMar>
              <w:top w:type="dxa" w:w="80"/>
              <w:left w:type="dxa" w:w="100"/>
              <w:bottom w:type="dxa" w:w="80"/>
              <w:right w:type="dxa" w:w="100"/>
            </w:tcMar>
          </w:tcPr>
          <w:p>
            <w:pPr>
              <w:jc w:val="left"/>
            </w:pPr>
            <w:r>
              <w:rPr>
                <w:b w:val="false"/>
                <w:bCs w:val="false"/>
                <w:color w:val="000000"/>
                <w:sz w:val="20"/>
                <w:szCs w:val="20"/>
              </w:rPr>
              <w:t xml:space="preserve">QuantitySlab</w:t>
            </w:r>
          </w:p>
        </w:tc>
        <w:tc>
          <w:tcPr>
            <w:tcW w:type="dxa" w:w="3600"/>
            <w:tcMar>
              <w:top w:type="dxa" w:w="80"/>
              <w:left w:type="dxa" w:w="100"/>
              <w:bottom w:type="dxa" w:w="80"/>
              <w:right w:type="dxa" w:w="100"/>
            </w:tcMar>
          </w:tcPr>
          <w:p>
            <w:pPr>
              <w:jc w:val="left"/>
            </w:pPr>
            <w:r>
              <w:rPr>
                <w:b w:val="false"/>
                <w:bCs w:val="false"/>
                <w:color w:val="000000"/>
                <w:sz w:val="20"/>
                <w:szCs w:val="20"/>
              </w:rPr>
              <w:t xml:space="preserve">Break-point that changes the applicable rate or unlocks an additional-each-1 rate</w:t>
            </w:r>
          </w:p>
        </w:tc>
        <w:tc>
          <w:tcPr>
            <w:tcW w:type="dxa" w:w="4380"/>
            <w:tcMar>
              <w:top w:type="dxa" w:w="80"/>
              <w:left w:type="dxa" w:w="100"/>
              <w:bottom w:type="dxa" w:w="80"/>
              <w:right w:type="dxa" w:w="100"/>
            </w:tcMar>
          </w:tcPr>
          <w:p>
            <w:pPr>
              <w:jc w:val="left"/>
            </w:pPr>
            <w:r>
              <w:rPr>
                <w:b w:val="false"/>
                <w:bCs w:val="false"/>
                <w:color w:val="000000"/>
                <w:sz w:val="20"/>
                <w:szCs w:val="20"/>
              </w:rPr>
              <w:t xml:space="preserve">1–500 nos / 501–1000 nos / Additional per 1000</w:t>
            </w:r>
          </w:p>
        </w:tc>
      </w:tr>
      <w:tr>
        <w:tc>
          <w:tcPr>
            <w:tcW w:type="dxa" w:w="2100"/>
            <w:tcMar>
              <w:top w:type="dxa" w:w="80"/>
              <w:left w:type="dxa" w:w="100"/>
              <w:bottom w:type="dxa" w:w="80"/>
              <w:right w:type="dxa" w:w="100"/>
            </w:tcMar>
          </w:tcPr>
          <w:p>
            <w:pPr>
              <w:jc w:val="left"/>
            </w:pPr>
            <w:r>
              <w:rPr>
                <w:b w:val="false"/>
                <w:bCs w:val="false"/>
                <w:color w:val="000000"/>
                <w:sz w:val="20"/>
                <w:szCs w:val="20"/>
              </w:rPr>
              <w:t xml:space="preserve">PriceMatrixCell</w:t>
            </w:r>
          </w:p>
        </w:tc>
        <w:tc>
          <w:tcPr>
            <w:tcW w:type="dxa" w:w="3600"/>
            <w:tcMar>
              <w:top w:type="dxa" w:w="80"/>
              <w:left w:type="dxa" w:w="100"/>
              <w:bottom w:type="dxa" w:w="80"/>
              <w:right w:type="dxa" w:w="100"/>
            </w:tcMar>
          </w:tcPr>
          <w:p>
            <w:pPr>
              <w:jc w:val="left"/>
            </w:pPr>
            <w:r>
              <w:rPr>
                <w:b w:val="false"/>
                <w:bCs w:val="false"/>
                <w:color w:val="000000"/>
                <w:sz w:val="20"/>
                <w:szCs w:val="20"/>
              </w:rPr>
              <w:t xml:space="preserve">Resolved base rate for a specific combination of Size × Material × Slab</w:t>
            </w:r>
          </w:p>
        </w:tc>
        <w:tc>
          <w:tcPr>
            <w:tcW w:type="dxa" w:w="4380"/>
            <w:tcMar>
              <w:top w:type="dxa" w:w="80"/>
              <w:left w:type="dxa" w:w="100"/>
              <w:bottom w:type="dxa" w:w="80"/>
              <w:right w:type="dxa" w:w="100"/>
            </w:tcMar>
          </w:tcPr>
          <w:p>
            <w:pPr>
              <w:jc w:val="left"/>
            </w:pPr>
            <w:r>
              <w:rPr>
                <w:b w:val="false"/>
                <w:bCs w:val="false"/>
                <w:color w:val="000000"/>
                <w:sz w:val="20"/>
                <w:szCs w:val="20"/>
              </w:rPr>
              <w:t xml:space="preserve">13x19, Art 130 GSM, 1–500 nos → ₹X per piece</w:t>
            </w:r>
          </w:p>
        </w:tc>
      </w:tr>
      <w:tr>
        <w:tc>
          <w:tcPr>
            <w:tcW w:type="dxa" w:w="2100"/>
            <w:tcMar>
              <w:top w:type="dxa" w:w="80"/>
              <w:left w:type="dxa" w:w="100"/>
              <w:bottom w:type="dxa" w:w="80"/>
              <w:right w:type="dxa" w:w="100"/>
            </w:tcMar>
          </w:tcPr>
          <w:p>
            <w:pPr>
              <w:jc w:val="left"/>
            </w:pPr>
            <w:r>
              <w:rPr>
                <w:b w:val="false"/>
                <w:bCs w:val="false"/>
                <w:color w:val="000000"/>
                <w:sz w:val="20"/>
                <w:szCs w:val="20"/>
              </w:rPr>
              <w:t xml:space="preserve">ExtraCharge</w:t>
            </w:r>
          </w:p>
        </w:tc>
        <w:tc>
          <w:tcPr>
            <w:tcW w:type="dxa" w:w="3600"/>
            <w:tcMar>
              <w:top w:type="dxa" w:w="80"/>
              <w:left w:type="dxa" w:w="100"/>
              <w:bottom w:type="dxa" w:w="80"/>
              <w:right w:type="dxa" w:w="100"/>
            </w:tcMar>
          </w:tcPr>
          <w:p>
            <w:pPr>
              <w:jc w:val="left"/>
            </w:pPr>
            <w:r>
              <w:rPr>
                <w:b w:val="false"/>
                <w:bCs w:val="false"/>
                <w:color w:val="000000"/>
                <w:sz w:val="20"/>
                <w:szCs w:val="20"/>
              </w:rPr>
              <w:t xml:space="preserve">Additive or per-unit add-on independent of the base matrix</w:t>
            </w:r>
          </w:p>
        </w:tc>
        <w:tc>
          <w:tcPr>
            <w:tcW w:type="dxa" w:w="4380"/>
            <w:tcMar>
              <w:top w:type="dxa" w:w="80"/>
              <w:left w:type="dxa" w:w="100"/>
              <w:bottom w:type="dxa" w:w="80"/>
              <w:right w:type="dxa" w:w="100"/>
            </w:tcMar>
          </w:tcPr>
          <w:p>
            <w:pPr>
              <w:jc w:val="left"/>
            </w:pPr>
            <w:r>
              <w:rPr>
                <w:b w:val="false"/>
                <w:bCs w:val="false"/>
                <w:color w:val="000000"/>
                <w:sz w:val="20"/>
                <w:szCs w:val="20"/>
              </w:rPr>
              <w:t xml:space="preserve">Foiling minimum charge, pasting charge/qty, transport charge, designing charge</w:t>
            </w:r>
          </w:p>
        </w:tc>
      </w:tr>
      <w:tr>
        <w:tc>
          <w:tcPr>
            <w:tcW w:type="dxa" w:w="2100"/>
            <w:tcMar>
              <w:top w:type="dxa" w:w="80"/>
              <w:left w:type="dxa" w:w="100"/>
              <w:bottom w:type="dxa" w:w="80"/>
              <w:right w:type="dxa" w:w="100"/>
            </w:tcMar>
          </w:tcPr>
          <w:p>
            <w:pPr>
              <w:jc w:val="left"/>
            </w:pPr>
            <w:r>
              <w:rPr>
                <w:b w:val="false"/>
                <w:bCs w:val="false"/>
                <w:color w:val="000000"/>
                <w:sz w:val="20"/>
                <w:szCs w:val="20"/>
              </w:rPr>
              <w:t xml:space="preserve">SKUProduct</w:t>
            </w:r>
          </w:p>
        </w:tc>
        <w:tc>
          <w:tcPr>
            <w:tcW w:type="dxa" w:w="3600"/>
            <w:tcMar>
              <w:top w:type="dxa" w:w="80"/>
              <w:left w:type="dxa" w:w="100"/>
              <w:bottom w:type="dxa" w:w="80"/>
              <w:right w:type="dxa" w:w="100"/>
            </w:tcMar>
          </w:tcPr>
          <w:p>
            <w:pPr>
              <w:jc w:val="left"/>
            </w:pPr>
            <w:r>
              <w:rPr>
                <w:b w:val="false"/>
                <w:bCs w:val="false"/>
                <w:color w:val="000000"/>
                <w:sz w:val="20"/>
                <w:szCs w:val="20"/>
              </w:rPr>
              <w:t xml:space="preserve">Fixed-price catalogue item bypassing the matrix (for simple lines)</w:t>
            </w:r>
          </w:p>
        </w:tc>
        <w:tc>
          <w:tcPr>
            <w:tcW w:type="dxa" w:w="4380"/>
            <w:tcMar>
              <w:top w:type="dxa" w:w="80"/>
              <w:left w:type="dxa" w:w="100"/>
              <w:bottom w:type="dxa" w:w="80"/>
              <w:right w:type="dxa" w:w="100"/>
            </w:tcMar>
          </w:tcPr>
          <w:p>
            <w:pPr>
              <w:jc w:val="left"/>
            </w:pPr>
            <w:r>
              <w:rPr>
                <w:b w:val="false"/>
                <w:bCs w:val="false"/>
                <w:color w:val="000000"/>
                <w:sz w:val="20"/>
                <w:szCs w:val="20"/>
              </w:rPr>
              <w:t xml:space="preserve">Rubber stamp size “B7_50X24” → ₹80 flat</w:t>
            </w:r>
          </w:p>
        </w:tc>
      </w:tr>
      <w:tr>
        <w:tc>
          <w:tcPr>
            <w:tcW w:type="dxa" w:w="2100"/>
            <w:tcMar>
              <w:top w:type="dxa" w:w="80"/>
              <w:left w:type="dxa" w:w="100"/>
              <w:bottom w:type="dxa" w:w="80"/>
              <w:right w:type="dxa" w:w="100"/>
            </w:tcMar>
          </w:tcPr>
          <w:p>
            <w:pPr>
              <w:jc w:val="left"/>
            </w:pPr>
            <w:r>
              <w:rPr>
                <w:b w:val="false"/>
                <w:bCs w:val="false"/>
                <w:color w:val="000000"/>
                <w:sz w:val="20"/>
                <w:szCs w:val="20"/>
              </w:rPr>
              <w:t xml:space="preserve">PriceListVersion</w:t>
            </w:r>
          </w:p>
        </w:tc>
        <w:tc>
          <w:tcPr>
            <w:tcW w:type="dxa" w:w="3600"/>
            <w:tcMar>
              <w:top w:type="dxa" w:w="80"/>
              <w:left w:type="dxa" w:w="100"/>
              <w:bottom w:type="dxa" w:w="80"/>
              <w:right w:type="dxa" w:w="100"/>
            </w:tcMar>
          </w:tcPr>
          <w:p>
            <w:pPr>
              <w:jc w:val="left"/>
            </w:pPr>
            <w:r>
              <w:rPr>
                <w:b w:val="false"/>
                <w:bCs w:val="false"/>
                <w:color w:val="000000"/>
                <w:sz w:val="20"/>
                <w:szCs w:val="20"/>
              </w:rPr>
              <w:t xml:space="preserve">Effective-dated snapshot so past invoices stay correct after a rate revision</w:t>
            </w:r>
          </w:p>
        </w:tc>
        <w:tc>
          <w:tcPr>
            <w:tcW w:type="dxa" w:w="4380"/>
            <w:tcMar>
              <w:top w:type="dxa" w:w="80"/>
              <w:left w:type="dxa" w:w="100"/>
              <w:bottom w:type="dxa" w:w="80"/>
              <w:right w:type="dxa" w:w="100"/>
            </w:tcMar>
          </w:tcPr>
          <w:p>
            <w:pPr>
              <w:jc w:val="left"/>
            </w:pPr>
            <w:r>
              <w:rPr>
                <w:b w:val="false"/>
                <w:bCs w:val="false"/>
                <w:color w:val="000000"/>
                <w:sz w:val="20"/>
                <w:szCs w:val="20"/>
              </w:rPr>
              <w:t xml:space="preserve">“Rate Card 2026-04” effective 1 Apr 2026</w:t>
            </w:r>
          </w:p>
        </w:tc>
      </w:tr>
      <w:tr>
        <w:tc>
          <w:tcPr>
            <w:tcW w:type="dxa" w:w="2100"/>
            <w:tcMar>
              <w:top w:type="dxa" w:w="80"/>
              <w:left w:type="dxa" w:w="100"/>
              <w:bottom w:type="dxa" w:w="80"/>
              <w:right w:type="dxa" w:w="100"/>
            </w:tcMar>
          </w:tcPr>
          <w:p>
            <w:pPr>
              <w:jc w:val="left"/>
            </w:pPr>
            <w:r>
              <w:rPr>
                <w:b w:val="false"/>
                <w:bCs w:val="false"/>
                <w:color w:val="000000"/>
                <w:sz w:val="20"/>
                <w:szCs w:val="20"/>
              </w:rPr>
              <w:t xml:space="preserve">Job / JobCard</w:t>
            </w:r>
          </w:p>
        </w:tc>
        <w:tc>
          <w:tcPr>
            <w:tcW w:type="dxa" w:w="3600"/>
            <w:tcMar>
              <w:top w:type="dxa" w:w="80"/>
              <w:left w:type="dxa" w:w="100"/>
              <w:bottom w:type="dxa" w:w="80"/>
              <w:right w:type="dxa" w:w="100"/>
            </w:tcMar>
          </w:tcPr>
          <w:p>
            <w:pPr>
              <w:jc w:val="left"/>
            </w:pPr>
            <w:r>
              <w:rPr>
                <w:b w:val="false"/>
                <w:bCs w:val="false"/>
                <w:color w:val="000000"/>
                <w:sz w:val="20"/>
                <w:szCs w:val="20"/>
              </w:rPr>
              <w:t xml:space="preserve">One customer order instance, referencing chosen category + attribute values, computed price, and stage checklist</w:t>
            </w:r>
          </w:p>
        </w:tc>
        <w:tc>
          <w:tcPr>
            <w:tcW w:type="dxa" w:w="4380"/>
            <w:tcMar>
              <w:top w:type="dxa" w:w="80"/>
              <w:left w:type="dxa" w:w="100"/>
              <w:bottom w:type="dxa" w:w="80"/>
              <w:right w:type="dxa" w:w="100"/>
            </w:tcMar>
          </w:tcPr>
          <w:p>
            <w:pPr>
              <w:jc w:val="left"/>
            </w:pPr>
            <w:r>
              <w:rPr>
                <w:b w:val="false"/>
                <w:bCs w:val="false"/>
                <w:color w:val="000000"/>
                <w:sz w:val="20"/>
                <w:szCs w:val="20"/>
              </w:rPr>
              <w:t xml:space="preserve">Job #4821 – Wedding Invitation, 500 nos, Art 250 GSM, gold foiling</w:t>
            </w:r>
          </w:p>
        </w:tc>
      </w:tr>
    </w:tbl>
    <w:p>
      <w:pPr>
        <w:spacing w:after="160"/>
      </w:pPr>
      <w:r>
        <w:t xml:space="preserve">At quote/estimate time the engine resolves: base = PriceMatrixCell(category, size, material, slab); total = base × qty + Σ(ExtraCharge selected) − discounts. This same resolver produces the Quotation, Estimate, Job Card, and final Tax Invoice line items, so a job is priced exactly once and simply carried through each document stage.</w:t>
      </w:r>
    </w:p>
    <w:p>
      <w:pPr>
        <w:pStyle w:val="Heading1"/>
        <w:spacing w:after="180" w:before="360"/>
      </w:pPr>
      <w:r>
        <w:t xml:space="preserve">7. System Architecture</w:t>
      </w:r>
    </w:p>
    <w:p>
      <w:pPr>
        <w:pStyle w:val="Heading2"/>
        <w:spacing w:after="140" w:before="280"/>
      </w:pPr>
      <w:r>
        <w:t xml:space="preserve">7.1 High-level components</w:t>
      </w:r>
    </w:p>
    <w:p>
      <w:pPr>
        <w:pStyle w:val="ListParagraph"/>
        <w:numPr>
          <w:ilvl w:val="0"/>
          <w:numId w:val="2"/>
        </w:numPr>
        <w:spacing w:after="80"/>
      </w:pPr>
      <w:r>
        <w:t xml:space="preserve">Cloud Backend API — FastAPI (Python), continuing what you've started, exposing REST/JSON for both the web and mobile clients; PostgreSQL as the primary datastore (relational integrity matters for ledgers and price matrices)</w:t>
      </w:r>
    </w:p>
    <w:p>
      <w:pPr>
        <w:pStyle w:val="ListParagraph"/>
        <w:numPr>
          <w:ilvl w:val="0"/>
          <w:numId w:val="2"/>
        </w:numPr>
        <w:spacing w:after="80"/>
      </w:pPr>
      <w:r>
        <w:t xml:space="preserve">Web App — React (as started), used mainly at the shop counter and by accounts/admin for full data entry, catalogue management, and reporting</w:t>
      </w:r>
    </w:p>
    <w:p>
      <w:pPr>
        <w:pStyle w:val="ListParagraph"/>
        <w:numPr>
          <w:ilvl w:val="0"/>
          <w:numId w:val="2"/>
        </w:numPr>
        <w:spacing w:after="80"/>
      </w:pPr>
      <w:r>
        <w:t xml:space="preserve">Mobile App — a single cross-platform codebase (React Native or Flutter) for order-taking, job-status/delivery alerts, and quick quotes for sales staff and the owner on the move; supports offline draft orders that sync when back online</w:t>
      </w:r>
    </w:p>
    <w:p>
      <w:pPr>
        <w:pStyle w:val="ListParagraph"/>
        <w:numPr>
          <w:ilvl w:val="0"/>
          <w:numId w:val="2"/>
        </w:numPr>
        <w:spacing w:after="80"/>
      </w:pPr>
      <w:r>
        <w:t xml:space="preserve">Background Jobs — a scheduler (e.g. Celery/APScheduler) for the daily morning digest, delivery-due alerts, and low-stock checks</w:t>
      </w:r>
    </w:p>
    <w:p>
      <w:pPr>
        <w:pStyle w:val="ListParagraph"/>
        <w:numPr>
          <w:ilvl w:val="0"/>
          <w:numId w:val="2"/>
        </w:numPr>
        <w:spacing w:after="80"/>
      </w:pPr>
      <w:r>
        <w:t xml:space="preserve">Notifications — push notifications (mobile) + SMS/WhatsApp Business API for customer delivery/payment reminders</w:t>
      </w:r>
    </w:p>
    <w:p>
      <w:pPr>
        <w:pStyle w:val="ListParagraph"/>
        <w:numPr>
          <w:ilvl w:val="0"/>
          <w:numId w:val="2"/>
        </w:numPr>
        <w:spacing w:after="80"/>
      </w:pPr>
      <w:r>
        <w:t xml:space="preserve">File/Print templates — a PDF-generation service for Quotation/Estimate/Job Card/Challan/Invoice, using the same computed line items from the pricing engine</w:t>
      </w:r>
    </w:p>
    <w:p>
      <w:pPr>
        <w:pStyle w:val="Heading2"/>
        <w:spacing w:after="140" w:before="280"/>
      </w:pPr>
      <w:r>
        <w:t xml:space="preserve">7.2 Environments &amp; delivery discipline</w:t>
      </w:r>
    </w:p>
    <w:p>
      <w:pPr>
        <w:pStyle w:val="ListParagraph"/>
        <w:numPr>
          <w:ilvl w:val="0"/>
          <w:numId w:val="2"/>
        </w:numPr>
        <w:spacing w:after="80"/>
      </w:pPr>
      <w:r>
        <w:t xml:space="preserve">One shared GitHub repository, main branch protected, feature branches + pull requests reviewed before merge — this directly resolves the “latest code pushed and visible to everyone” concern raised in your update</w:t>
      </w:r>
    </w:p>
    <w:p>
      <w:pPr>
        <w:pStyle w:val="ListParagraph"/>
        <w:numPr>
          <w:ilvl w:val="0"/>
          <w:numId w:val="2"/>
        </w:numPr>
        <w:spacing w:after="80"/>
      </w:pPr>
      <w:r>
        <w:t xml:space="preserve">Separate staging and production deployments; staging used for you, Mercy, and any QA to verify a build before it reaches the shop floor</w:t>
      </w:r>
    </w:p>
    <w:p>
      <w:pPr>
        <w:pStyle w:val="ListParagraph"/>
        <w:numPr>
          <w:ilvl w:val="0"/>
          <w:numId w:val="2"/>
        </w:numPr>
        <w:spacing w:after="80"/>
      </w:pPr>
      <w:r>
        <w:t xml:space="preserve">CI pipeline running lint + tests on every PR, so “who is doing full-stack development and deployment alongside me” becomes a visible, assignable set of PRs and CI checks rather than an assumption</w:t>
      </w:r>
    </w:p>
    <w:p>
      <w:pPr>
        <w:pStyle w:val="Heading2"/>
        <w:spacing w:after="140" w:before="280"/>
      </w:pPr>
      <w:r>
        <w:t xml:space="preserve">7.3 Suggested technology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4200"/>
        <w:gridCol w:w="3580"/>
      </w:tblGrid>
      <w:tr>
        <w:trPr>
          <w:tblHeader/>
        </w:trPr>
        <w:tc>
          <w:tcPr>
            <w:tcW w:type="dxa" w:w="2300"/>
            <w:shd w:fill="1F3864" w:val="clear"/>
            <w:tcMar>
              <w:top w:type="dxa" w:w="80"/>
              <w:left w:type="dxa" w:w="100"/>
              <w:bottom w:type="dxa" w:w="80"/>
              <w:right w:type="dxa" w:w="100"/>
            </w:tcMar>
          </w:tcPr>
          <w:p>
            <w:pPr>
              <w:jc w:val="left"/>
            </w:pPr>
            <w:r>
              <w:rPr>
                <w:b/>
                <w:bCs/>
                <w:color w:val="FFFFFF"/>
                <w:sz w:val="20"/>
                <w:szCs w:val="20"/>
              </w:rPr>
              <w:t xml:space="preserve">Layer</w:t>
            </w:r>
          </w:p>
        </w:tc>
        <w:tc>
          <w:tcPr>
            <w:tcW w:type="dxa" w:w="4200"/>
            <w:shd w:fill="1F3864" w:val="clear"/>
            <w:tcMar>
              <w:top w:type="dxa" w:w="80"/>
              <w:left w:type="dxa" w:w="100"/>
              <w:bottom w:type="dxa" w:w="80"/>
              <w:right w:type="dxa" w:w="100"/>
            </w:tcMar>
          </w:tcPr>
          <w:p>
            <w:pPr>
              <w:jc w:val="left"/>
            </w:pPr>
            <w:r>
              <w:rPr>
                <w:b/>
                <w:bCs/>
                <w:color w:val="FFFFFF"/>
                <w:sz w:val="20"/>
                <w:szCs w:val="20"/>
              </w:rPr>
              <w:t xml:space="preserve">Recommendation</w:t>
            </w:r>
          </w:p>
        </w:tc>
        <w:tc>
          <w:tcPr>
            <w:tcW w:type="dxa" w:w="3580"/>
            <w:shd w:fill="1F3864" w:val="clear"/>
            <w:tcMar>
              <w:top w:type="dxa" w:w="80"/>
              <w:left w:type="dxa" w:w="100"/>
              <w:bottom w:type="dxa" w:w="80"/>
              <w:right w:type="dxa" w:w="100"/>
            </w:tcMar>
          </w:tcPr>
          <w:p>
            <w:pPr>
              <w:jc w:val="left"/>
            </w:pPr>
            <w:r>
              <w:rPr>
                <w:b/>
                <w:bCs/>
                <w:color w:val="FFFFFF"/>
                <w:sz w:val="20"/>
                <w:szCs w:val="20"/>
              </w:rPr>
              <w:t xml:space="preserve">Why</w:t>
            </w:r>
          </w:p>
        </w:tc>
      </w:tr>
      <w:tr>
        <w:tc>
          <w:tcPr>
            <w:tcW w:type="dxa" w:w="2300"/>
            <w:tcMar>
              <w:top w:type="dxa" w:w="80"/>
              <w:left w:type="dxa" w:w="100"/>
              <w:bottom w:type="dxa" w:w="80"/>
              <w:right w:type="dxa" w:w="100"/>
            </w:tcMar>
          </w:tcPr>
          <w:p>
            <w:pPr>
              <w:jc w:val="left"/>
            </w:pPr>
            <w:r>
              <w:rPr>
                <w:b w:val="false"/>
                <w:bCs w:val="false"/>
                <w:color w:val="000000"/>
                <w:sz w:val="20"/>
                <w:szCs w:val="20"/>
              </w:rPr>
              <w:t xml:space="preserve">Backend API</w:t>
            </w:r>
          </w:p>
        </w:tc>
        <w:tc>
          <w:tcPr>
            <w:tcW w:type="dxa" w:w="4200"/>
            <w:tcMar>
              <w:top w:type="dxa" w:w="80"/>
              <w:left w:type="dxa" w:w="100"/>
              <w:bottom w:type="dxa" w:w="80"/>
              <w:right w:type="dxa" w:w="100"/>
            </w:tcMar>
          </w:tcPr>
          <w:p>
            <w:pPr>
              <w:jc w:val="left"/>
            </w:pPr>
            <w:r>
              <w:rPr>
                <w:b w:val="false"/>
                <w:bCs w:val="false"/>
                <w:color w:val="000000"/>
                <w:sz w:val="20"/>
                <w:szCs w:val="20"/>
              </w:rPr>
              <w:t xml:space="preserve">FastAPI + SQLAlchemy + PostgreSQL</w:t>
            </w:r>
          </w:p>
        </w:tc>
        <w:tc>
          <w:tcPr>
            <w:tcW w:type="dxa" w:w="3580"/>
            <w:tcMar>
              <w:top w:type="dxa" w:w="80"/>
              <w:left w:type="dxa" w:w="100"/>
              <w:bottom w:type="dxa" w:w="80"/>
              <w:right w:type="dxa" w:w="100"/>
            </w:tcMar>
          </w:tcPr>
          <w:p>
            <w:pPr>
              <w:jc w:val="left"/>
            </w:pPr>
            <w:r>
              <w:rPr>
                <w:b w:val="false"/>
                <w:bCs w:val="false"/>
                <w:color w:val="000000"/>
                <w:sz w:val="20"/>
                <w:szCs w:val="20"/>
              </w:rPr>
              <w:t xml:space="preserve">Continues current stack; async-capable; strong typing fits a rules-heavy pricing engine</w:t>
            </w:r>
          </w:p>
        </w:tc>
      </w:tr>
      <w:tr>
        <w:tc>
          <w:tcPr>
            <w:tcW w:type="dxa" w:w="2300"/>
            <w:tcMar>
              <w:top w:type="dxa" w:w="80"/>
              <w:left w:type="dxa" w:w="100"/>
              <w:bottom w:type="dxa" w:w="80"/>
              <w:right w:type="dxa" w:w="100"/>
            </w:tcMar>
          </w:tcPr>
          <w:p>
            <w:pPr>
              <w:jc w:val="left"/>
            </w:pPr>
            <w:r>
              <w:rPr>
                <w:b w:val="false"/>
                <w:bCs w:val="false"/>
                <w:color w:val="000000"/>
                <w:sz w:val="20"/>
                <w:szCs w:val="20"/>
              </w:rPr>
              <w:t xml:space="preserve">Web frontend</w:t>
            </w:r>
          </w:p>
        </w:tc>
        <w:tc>
          <w:tcPr>
            <w:tcW w:type="dxa" w:w="4200"/>
            <w:tcMar>
              <w:top w:type="dxa" w:w="80"/>
              <w:left w:type="dxa" w:w="100"/>
              <w:bottom w:type="dxa" w:w="80"/>
              <w:right w:type="dxa" w:w="100"/>
            </w:tcMar>
          </w:tcPr>
          <w:p>
            <w:pPr>
              <w:jc w:val="left"/>
            </w:pPr>
            <w:r>
              <w:rPr>
                <w:b w:val="false"/>
                <w:bCs w:val="false"/>
                <w:color w:val="000000"/>
                <w:sz w:val="20"/>
                <w:szCs w:val="20"/>
              </w:rPr>
              <w:t xml:space="preserve">React + TypeScript + a component kit (MUI/Ant Design)</w:t>
            </w:r>
          </w:p>
        </w:tc>
        <w:tc>
          <w:tcPr>
            <w:tcW w:type="dxa" w:w="3580"/>
            <w:tcMar>
              <w:top w:type="dxa" w:w="80"/>
              <w:left w:type="dxa" w:w="100"/>
              <w:bottom w:type="dxa" w:w="80"/>
              <w:right w:type="dxa" w:w="100"/>
            </w:tcMar>
          </w:tcPr>
          <w:p>
            <w:pPr>
              <w:jc w:val="left"/>
            </w:pPr>
            <w:r>
              <w:rPr>
                <w:b w:val="false"/>
                <w:bCs w:val="false"/>
                <w:color w:val="000000"/>
                <w:sz w:val="20"/>
                <w:szCs w:val="20"/>
              </w:rPr>
              <w:t xml:space="preserve">Continues current stack; TypeScript reduces bugs in complex attribute forms</w:t>
            </w:r>
          </w:p>
        </w:tc>
      </w:tr>
      <w:tr>
        <w:tc>
          <w:tcPr>
            <w:tcW w:type="dxa" w:w="2300"/>
            <w:tcMar>
              <w:top w:type="dxa" w:w="80"/>
              <w:left w:type="dxa" w:w="100"/>
              <w:bottom w:type="dxa" w:w="80"/>
              <w:right w:type="dxa" w:w="100"/>
            </w:tcMar>
          </w:tcPr>
          <w:p>
            <w:pPr>
              <w:jc w:val="left"/>
            </w:pPr>
            <w:r>
              <w:rPr>
                <w:b w:val="false"/>
                <w:bCs w:val="false"/>
                <w:color w:val="000000"/>
                <w:sz w:val="20"/>
                <w:szCs w:val="20"/>
              </w:rPr>
              <w:t xml:space="preserve">Mobile app</w:t>
            </w:r>
          </w:p>
        </w:tc>
        <w:tc>
          <w:tcPr>
            <w:tcW w:type="dxa" w:w="4200"/>
            <w:tcMar>
              <w:top w:type="dxa" w:w="80"/>
              <w:left w:type="dxa" w:w="100"/>
              <w:bottom w:type="dxa" w:w="80"/>
              <w:right w:type="dxa" w:w="100"/>
            </w:tcMar>
          </w:tcPr>
          <w:p>
            <w:pPr>
              <w:jc w:val="left"/>
            </w:pPr>
            <w:r>
              <w:rPr>
                <w:b w:val="false"/>
                <w:bCs w:val="false"/>
                <w:color w:val="000000"/>
                <w:sz w:val="20"/>
                <w:szCs w:val="20"/>
              </w:rPr>
              <w:t xml:space="preserve">React Native (shares logic/types with the React web app) or Flutter</w:t>
            </w:r>
          </w:p>
        </w:tc>
        <w:tc>
          <w:tcPr>
            <w:tcW w:type="dxa" w:w="3580"/>
            <w:tcMar>
              <w:top w:type="dxa" w:w="80"/>
              <w:left w:type="dxa" w:w="100"/>
              <w:bottom w:type="dxa" w:w="80"/>
              <w:right w:type="dxa" w:w="100"/>
            </w:tcMar>
          </w:tcPr>
          <w:p>
            <w:pPr>
              <w:jc w:val="left"/>
            </w:pPr>
            <w:r>
              <w:rPr>
                <w:b w:val="false"/>
                <w:bCs w:val="false"/>
                <w:color w:val="000000"/>
                <w:sz w:val="20"/>
                <w:szCs w:val="20"/>
              </w:rPr>
              <w:t xml:space="preserve">One codebase for Android/iOS; React Native lets you reuse TypeScript models with the web app</w:t>
            </w:r>
          </w:p>
        </w:tc>
      </w:tr>
      <w:tr>
        <w:tc>
          <w:tcPr>
            <w:tcW w:type="dxa" w:w="2300"/>
            <w:tcMar>
              <w:top w:type="dxa" w:w="80"/>
              <w:left w:type="dxa" w:w="100"/>
              <w:bottom w:type="dxa" w:w="80"/>
              <w:right w:type="dxa" w:w="100"/>
            </w:tcMar>
          </w:tcPr>
          <w:p>
            <w:pPr>
              <w:jc w:val="left"/>
            </w:pPr>
            <w:r>
              <w:rPr>
                <w:b w:val="false"/>
                <w:bCs w:val="false"/>
                <w:color w:val="000000"/>
                <w:sz w:val="20"/>
                <w:szCs w:val="20"/>
              </w:rPr>
              <w:t xml:space="preserve">Auth</w:t>
            </w:r>
          </w:p>
        </w:tc>
        <w:tc>
          <w:tcPr>
            <w:tcW w:type="dxa" w:w="4200"/>
            <w:tcMar>
              <w:top w:type="dxa" w:w="80"/>
              <w:left w:type="dxa" w:w="100"/>
              <w:bottom w:type="dxa" w:w="80"/>
              <w:right w:type="dxa" w:w="100"/>
            </w:tcMar>
          </w:tcPr>
          <w:p>
            <w:pPr>
              <w:jc w:val="left"/>
            </w:pPr>
            <w:r>
              <w:rPr>
                <w:b w:val="false"/>
                <w:bCs w:val="false"/>
                <w:color w:val="000000"/>
                <w:sz w:val="20"/>
                <w:szCs w:val="20"/>
              </w:rPr>
              <w:t xml:space="preserve">JWT + refresh tokens, role-based claims</w:t>
            </w:r>
          </w:p>
        </w:tc>
        <w:tc>
          <w:tcPr>
            <w:tcW w:type="dxa" w:w="3580"/>
            <w:tcMar>
              <w:top w:type="dxa" w:w="80"/>
              <w:left w:type="dxa" w:w="100"/>
              <w:bottom w:type="dxa" w:w="80"/>
              <w:right w:type="dxa" w:w="100"/>
            </w:tcMar>
          </w:tcPr>
          <w:p>
            <w:pPr>
              <w:jc w:val="left"/>
            </w:pPr>
            <w:r>
              <w:rPr>
                <w:b w:val="false"/>
                <w:bCs w:val="false"/>
                <w:color w:val="000000"/>
                <w:sz w:val="20"/>
                <w:szCs w:val="20"/>
              </w:rPr>
              <w:t xml:space="preserve">Matches the register/login work already done</w:t>
            </w:r>
          </w:p>
        </w:tc>
      </w:tr>
      <w:tr>
        <w:tc>
          <w:tcPr>
            <w:tcW w:type="dxa" w:w="2300"/>
            <w:tcMar>
              <w:top w:type="dxa" w:w="80"/>
              <w:left w:type="dxa" w:w="100"/>
              <w:bottom w:type="dxa" w:w="80"/>
              <w:right w:type="dxa" w:w="100"/>
            </w:tcMar>
          </w:tcPr>
          <w:p>
            <w:pPr>
              <w:jc w:val="left"/>
            </w:pPr>
            <w:r>
              <w:rPr>
                <w:b w:val="false"/>
                <w:bCs w:val="false"/>
                <w:color w:val="000000"/>
                <w:sz w:val="20"/>
                <w:szCs w:val="20"/>
              </w:rPr>
              <w:t xml:space="preserve">Background/scheduler</w:t>
            </w:r>
          </w:p>
        </w:tc>
        <w:tc>
          <w:tcPr>
            <w:tcW w:type="dxa" w:w="4200"/>
            <w:tcMar>
              <w:top w:type="dxa" w:w="80"/>
              <w:left w:type="dxa" w:w="100"/>
              <w:bottom w:type="dxa" w:w="80"/>
              <w:right w:type="dxa" w:w="100"/>
            </w:tcMar>
          </w:tcPr>
          <w:p>
            <w:pPr>
              <w:jc w:val="left"/>
            </w:pPr>
            <w:r>
              <w:rPr>
                <w:b w:val="false"/>
                <w:bCs w:val="false"/>
                <w:color w:val="000000"/>
                <w:sz w:val="20"/>
                <w:szCs w:val="20"/>
              </w:rPr>
              <w:t xml:space="preserve">Celery + Redis, or APScheduler for simpler needs</w:t>
            </w:r>
          </w:p>
        </w:tc>
        <w:tc>
          <w:tcPr>
            <w:tcW w:type="dxa" w:w="3580"/>
            <w:tcMar>
              <w:top w:type="dxa" w:w="80"/>
              <w:left w:type="dxa" w:w="100"/>
              <w:bottom w:type="dxa" w:w="80"/>
              <w:right w:type="dxa" w:w="100"/>
            </w:tcMar>
          </w:tcPr>
          <w:p>
            <w:pPr>
              <w:jc w:val="left"/>
            </w:pPr>
            <w:r>
              <w:rPr>
                <w:b w:val="false"/>
                <w:bCs w:val="false"/>
                <w:color w:val="000000"/>
                <w:sz w:val="20"/>
                <w:szCs w:val="20"/>
              </w:rPr>
              <w:t xml:space="preserve">Powers reminders, digests, low-stock checks</w:t>
            </w:r>
          </w:p>
        </w:tc>
      </w:tr>
      <w:tr>
        <w:tc>
          <w:tcPr>
            <w:tcW w:type="dxa" w:w="2300"/>
            <w:tcMar>
              <w:top w:type="dxa" w:w="80"/>
              <w:left w:type="dxa" w:w="100"/>
              <w:bottom w:type="dxa" w:w="80"/>
              <w:right w:type="dxa" w:w="100"/>
            </w:tcMar>
          </w:tcPr>
          <w:p>
            <w:pPr>
              <w:jc w:val="left"/>
            </w:pPr>
            <w:r>
              <w:rPr>
                <w:b w:val="false"/>
                <w:bCs w:val="false"/>
                <w:color w:val="000000"/>
                <w:sz w:val="20"/>
                <w:szCs w:val="20"/>
              </w:rPr>
              <w:t xml:space="preserve">Hosting</w:t>
            </w:r>
          </w:p>
        </w:tc>
        <w:tc>
          <w:tcPr>
            <w:tcW w:type="dxa" w:w="4200"/>
            <w:tcMar>
              <w:top w:type="dxa" w:w="80"/>
              <w:left w:type="dxa" w:w="100"/>
              <w:bottom w:type="dxa" w:w="80"/>
              <w:right w:type="dxa" w:w="100"/>
            </w:tcMar>
          </w:tcPr>
          <w:p>
            <w:pPr>
              <w:jc w:val="left"/>
            </w:pPr>
            <w:r>
              <w:rPr>
                <w:b w:val="false"/>
                <w:bCs w:val="false"/>
                <w:color w:val="000000"/>
                <w:sz w:val="20"/>
                <w:szCs w:val="20"/>
              </w:rPr>
              <w:t xml:space="preserve">Any managed cloud (AWS/GCP/Azure) with managed Postgres; containerised via Docker</w:t>
            </w:r>
          </w:p>
        </w:tc>
        <w:tc>
          <w:tcPr>
            <w:tcW w:type="dxa" w:w="3580"/>
            <w:tcMar>
              <w:top w:type="dxa" w:w="80"/>
              <w:left w:type="dxa" w:w="100"/>
              <w:bottom w:type="dxa" w:w="80"/>
              <w:right w:type="dxa" w:w="100"/>
            </w:tcMar>
          </w:tcPr>
          <w:p>
            <w:pPr>
              <w:jc w:val="left"/>
            </w:pPr>
            <w:r>
              <w:rPr>
                <w:b w:val="false"/>
                <w:bCs w:val="false"/>
                <w:color w:val="000000"/>
                <w:sz w:val="20"/>
                <w:szCs w:val="20"/>
              </w:rPr>
              <w:t xml:space="preserve">Predictable ops, easy staging/production parity</w:t>
            </w:r>
          </w:p>
        </w:tc>
      </w:tr>
      <w:tr>
        <w:tc>
          <w:tcPr>
            <w:tcW w:type="dxa" w:w="2300"/>
            <w:tcMar>
              <w:top w:type="dxa" w:w="80"/>
              <w:left w:type="dxa" w:w="100"/>
              <w:bottom w:type="dxa" w:w="80"/>
              <w:right w:type="dxa" w:w="100"/>
            </w:tcMar>
          </w:tcPr>
          <w:p>
            <w:pPr>
              <w:jc w:val="left"/>
            </w:pPr>
            <w:r>
              <w:rPr>
                <w:b w:val="false"/>
                <w:bCs w:val="false"/>
                <w:color w:val="000000"/>
                <w:sz w:val="20"/>
                <w:szCs w:val="20"/>
              </w:rPr>
              <w:t xml:space="preserve">PDF generation</w:t>
            </w:r>
          </w:p>
        </w:tc>
        <w:tc>
          <w:tcPr>
            <w:tcW w:type="dxa" w:w="4200"/>
            <w:tcMar>
              <w:top w:type="dxa" w:w="80"/>
              <w:left w:type="dxa" w:w="100"/>
              <w:bottom w:type="dxa" w:w="80"/>
              <w:right w:type="dxa" w:w="100"/>
            </w:tcMar>
          </w:tcPr>
          <w:p>
            <w:pPr>
              <w:jc w:val="left"/>
            </w:pPr>
            <w:r>
              <w:rPr>
                <w:b w:val="false"/>
                <w:bCs w:val="false"/>
                <w:color w:val="000000"/>
                <w:sz w:val="20"/>
                <w:szCs w:val="20"/>
              </w:rPr>
              <w:t xml:space="preserve">WeasyPrint or a headless-Chrome renderer from HTML templates</w:t>
            </w:r>
          </w:p>
        </w:tc>
        <w:tc>
          <w:tcPr>
            <w:tcW w:type="dxa" w:w="3580"/>
            <w:tcMar>
              <w:top w:type="dxa" w:w="80"/>
              <w:left w:type="dxa" w:w="100"/>
              <w:bottom w:type="dxa" w:w="80"/>
              <w:right w:type="dxa" w:w="100"/>
            </w:tcMar>
          </w:tcPr>
          <w:p>
            <w:pPr>
              <w:jc w:val="left"/>
            </w:pPr>
            <w:r>
              <w:rPr>
                <w:b w:val="false"/>
                <w:bCs w:val="false"/>
                <w:color w:val="000000"/>
                <w:sz w:val="20"/>
                <w:szCs w:val="20"/>
              </w:rPr>
              <w:t xml:space="preserve">One template source for screen preview and print output</w:t>
            </w:r>
          </w:p>
        </w:tc>
      </w:tr>
    </w:tbl>
    <w:p>
      <w:pPr>
        <w:pStyle w:val="Heading1"/>
        <w:spacing w:after="180" w:before="360"/>
      </w:pPr>
      <w:r>
        <w:t xml:space="preserve">8. Implementation Roadmap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568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Phase</w:t>
            </w:r>
          </w:p>
        </w:tc>
        <w:tc>
          <w:tcPr>
            <w:tcW w:type="dxa" w:w="2900"/>
            <w:shd w:fill="1F3864" w:val="clear"/>
            <w:tcMar>
              <w:top w:type="dxa" w:w="80"/>
              <w:left w:type="dxa" w:w="100"/>
              <w:bottom w:type="dxa" w:w="80"/>
              <w:right w:type="dxa" w:w="100"/>
            </w:tcMar>
          </w:tcPr>
          <w:p>
            <w:pPr>
              <w:jc w:val="left"/>
            </w:pPr>
            <w:r>
              <w:rPr>
                <w:b/>
                <w:bCs/>
                <w:color w:val="FFFFFF"/>
                <w:sz w:val="20"/>
                <w:szCs w:val="20"/>
              </w:rPr>
              <w:t xml:space="preserve">Focus</w:t>
            </w:r>
          </w:p>
        </w:tc>
        <w:tc>
          <w:tcPr>
            <w:tcW w:type="dxa" w:w="5680"/>
            <w:shd w:fill="1F3864" w:val="clear"/>
            <w:tcMar>
              <w:top w:type="dxa" w:w="80"/>
              <w:left w:type="dxa" w:w="100"/>
              <w:bottom w:type="dxa" w:w="80"/>
              <w:right w:type="dxa" w:w="100"/>
            </w:tcMar>
          </w:tcPr>
          <w:p>
            <w:pPr>
              <w:jc w:val="left"/>
            </w:pPr>
            <w:r>
              <w:rPr>
                <w:b/>
                <w:bCs/>
                <w:color w:val="FFFFFF"/>
                <w:sz w:val="20"/>
                <w:szCs w:val="20"/>
              </w:rPr>
              <w:t xml:space="preserve">Key Deliverables</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Phase 0 (now)</w:t>
            </w:r>
          </w:p>
        </w:tc>
        <w:tc>
          <w:tcPr>
            <w:tcW w:type="dxa" w:w="2900"/>
            <w:tcMar>
              <w:top w:type="dxa" w:w="80"/>
              <w:left w:type="dxa" w:w="100"/>
              <w:bottom w:type="dxa" w:w="80"/>
              <w:right w:type="dxa" w:w="100"/>
            </w:tcMar>
          </w:tcPr>
          <w:p>
            <w:pPr>
              <w:jc w:val="left"/>
            </w:pPr>
            <w:r>
              <w:rPr>
                <w:b w:val="false"/>
                <w:bCs w:val="false"/>
                <w:color w:val="000000"/>
                <w:sz w:val="20"/>
                <w:szCs w:val="20"/>
              </w:rPr>
              <w:t xml:space="preserve">Foundation &amp; governance</w:t>
            </w:r>
          </w:p>
        </w:tc>
        <w:tc>
          <w:tcPr>
            <w:tcW w:type="dxa" w:w="5680"/>
            <w:tcMar>
              <w:top w:type="dxa" w:w="80"/>
              <w:left w:type="dxa" w:w="100"/>
              <w:bottom w:type="dxa" w:w="80"/>
              <w:right w:type="dxa" w:w="100"/>
            </w:tcMar>
          </w:tcPr>
          <w:p>
            <w:pPr>
              <w:jc w:val="left"/>
            </w:pPr>
            <w:r>
              <w:rPr>
                <w:b w:val="false"/>
                <w:bCs w:val="false"/>
                <w:color w:val="000000"/>
                <w:sz w:val="20"/>
                <w:szCs w:val="20"/>
              </w:rPr>
              <w:t xml:space="preserve">Single shared repo with branch protection; staging environment; finalize this requirements doc with the team; confirm roles (Section 9)</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Phase 1</w:t>
            </w:r>
          </w:p>
        </w:tc>
        <w:tc>
          <w:tcPr>
            <w:tcW w:type="dxa" w:w="2900"/>
            <w:tcMar>
              <w:top w:type="dxa" w:w="80"/>
              <w:left w:type="dxa" w:w="100"/>
              <w:bottom w:type="dxa" w:w="80"/>
              <w:right w:type="dxa" w:w="100"/>
            </w:tcMar>
          </w:tcPr>
          <w:p>
            <w:pPr>
              <w:jc w:val="left"/>
            </w:pPr>
            <w:r>
              <w:rPr>
                <w:b w:val="false"/>
                <w:bCs w:val="false"/>
                <w:color w:val="000000"/>
                <w:sz w:val="20"/>
                <w:szCs w:val="20"/>
              </w:rPr>
              <w:t xml:space="preserve">Product &amp; pricing engine</w:t>
            </w:r>
          </w:p>
        </w:tc>
        <w:tc>
          <w:tcPr>
            <w:tcW w:type="dxa" w:w="5680"/>
            <w:tcMar>
              <w:top w:type="dxa" w:w="80"/>
              <w:left w:type="dxa" w:w="100"/>
              <w:bottom w:type="dxa" w:w="80"/>
              <w:right w:type="dxa" w:w="100"/>
            </w:tcMar>
          </w:tcPr>
          <w:p>
            <w:pPr>
              <w:jc w:val="left"/>
            </w:pPr>
            <w:r>
              <w:rPr>
                <w:b w:val="false"/>
                <w:bCs w:val="false"/>
                <w:color w:val="000000"/>
                <w:sz w:val="20"/>
                <w:szCs w:val="20"/>
              </w:rPr>
              <w:t xml:space="preserve">ProductCategory/Attribute/PriceMatrix/ExtraCharge data model; admin UI to enter the rate-card data; quote calculator using the real engine (replacing the flat 4-category calculator)</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Phase 2</w:t>
            </w:r>
          </w:p>
        </w:tc>
        <w:tc>
          <w:tcPr>
            <w:tcW w:type="dxa" w:w="2900"/>
            <w:tcMar>
              <w:top w:type="dxa" w:w="80"/>
              <w:left w:type="dxa" w:w="100"/>
              <w:bottom w:type="dxa" w:w="80"/>
              <w:right w:type="dxa" w:w="100"/>
            </w:tcMar>
          </w:tcPr>
          <w:p>
            <w:pPr>
              <w:jc w:val="left"/>
            </w:pPr>
            <w:r>
              <w:rPr>
                <w:b w:val="false"/>
                <w:bCs w:val="false"/>
                <w:color w:val="000000"/>
                <w:sz w:val="20"/>
                <w:szCs w:val="20"/>
              </w:rPr>
              <w:t xml:space="preserve">Sales documents &amp; party master</w:t>
            </w:r>
          </w:p>
        </w:tc>
        <w:tc>
          <w:tcPr>
            <w:tcW w:type="dxa" w:w="5680"/>
            <w:tcMar>
              <w:top w:type="dxa" w:w="80"/>
              <w:left w:type="dxa" w:w="100"/>
              <w:bottom w:type="dxa" w:w="80"/>
              <w:right w:type="dxa" w:w="100"/>
            </w:tcMar>
          </w:tcPr>
          <w:p>
            <w:pPr>
              <w:jc w:val="left"/>
            </w:pPr>
            <w:r>
              <w:rPr>
                <w:b w:val="false"/>
                <w:bCs w:val="false"/>
                <w:color w:val="000000"/>
                <w:sz w:val="20"/>
                <w:szCs w:val="20"/>
              </w:rPr>
              <w:t xml:space="preserve">Party/Customer master; Quotation → Estimate → Job Card → Delivery Challan → Tax Invoice chain with PDF output and GST fields</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Phase 3</w:t>
            </w:r>
          </w:p>
        </w:tc>
        <w:tc>
          <w:tcPr>
            <w:tcW w:type="dxa" w:w="2900"/>
            <w:tcMar>
              <w:top w:type="dxa" w:w="80"/>
              <w:left w:type="dxa" w:w="100"/>
              <w:bottom w:type="dxa" w:w="80"/>
              <w:right w:type="dxa" w:w="100"/>
            </w:tcMar>
          </w:tcPr>
          <w:p>
            <w:pPr>
              <w:jc w:val="left"/>
            </w:pPr>
            <w:r>
              <w:rPr>
                <w:b w:val="false"/>
                <w:bCs w:val="false"/>
                <w:color w:val="000000"/>
                <w:sz w:val="20"/>
                <w:szCs w:val="20"/>
              </w:rPr>
              <w:t xml:space="preserve">Production workflow</w:t>
            </w:r>
          </w:p>
        </w:tc>
        <w:tc>
          <w:tcPr>
            <w:tcW w:type="dxa" w:w="5680"/>
            <w:tcMar>
              <w:top w:type="dxa" w:w="80"/>
              <w:left w:type="dxa" w:w="100"/>
              <w:bottom w:type="dxa" w:w="80"/>
              <w:right w:type="dxa" w:w="100"/>
            </w:tcMar>
          </w:tcPr>
          <w:p>
            <w:pPr>
              <w:jc w:val="left"/>
            </w:pPr>
            <w:r>
              <w:rPr>
                <w:b w:val="false"/>
                <w:bCs w:val="false"/>
                <w:color w:val="000000"/>
                <w:sz w:val="20"/>
                <w:szCs w:val="20"/>
              </w:rPr>
              <w:t xml:space="preserve">Job Card stage checklist, staff assignment, Job Status board, delivery-date alerting</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Phase 4</w:t>
            </w:r>
          </w:p>
        </w:tc>
        <w:tc>
          <w:tcPr>
            <w:tcW w:type="dxa" w:w="2900"/>
            <w:tcMar>
              <w:top w:type="dxa" w:w="80"/>
              <w:left w:type="dxa" w:w="100"/>
              <w:bottom w:type="dxa" w:w="80"/>
              <w:right w:type="dxa" w:w="100"/>
            </w:tcMar>
          </w:tcPr>
          <w:p>
            <w:pPr>
              <w:jc w:val="left"/>
            </w:pPr>
            <w:r>
              <w:rPr>
                <w:b w:val="false"/>
                <w:bCs w:val="false"/>
                <w:color w:val="000000"/>
                <w:sz w:val="20"/>
                <w:szCs w:val="20"/>
              </w:rPr>
              <w:t xml:space="preserve">Accounts &amp; inventory</w:t>
            </w:r>
          </w:p>
        </w:tc>
        <w:tc>
          <w:tcPr>
            <w:tcW w:type="dxa" w:w="5680"/>
            <w:tcMar>
              <w:top w:type="dxa" w:w="80"/>
              <w:left w:type="dxa" w:w="100"/>
              <w:bottom w:type="dxa" w:w="80"/>
              <w:right w:type="dxa" w:w="100"/>
            </w:tcMar>
          </w:tcPr>
          <w:p>
            <w:pPr>
              <w:jc w:val="left"/>
            </w:pPr>
            <w:r>
              <w:rPr>
                <w:b w:val="false"/>
                <w:bCs w:val="false"/>
                <w:color w:val="000000"/>
                <w:sz w:val="20"/>
                <w:szCs w:val="20"/>
              </w:rPr>
              <w:t xml:space="preserve">Cash/bank/cheque ledgers, vendor stock ledger with low-stock alerts, paid/balance tracking</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Phase 5</w:t>
            </w:r>
          </w:p>
        </w:tc>
        <w:tc>
          <w:tcPr>
            <w:tcW w:type="dxa" w:w="2900"/>
            <w:tcMar>
              <w:top w:type="dxa" w:w="80"/>
              <w:left w:type="dxa" w:w="100"/>
              <w:bottom w:type="dxa" w:w="80"/>
              <w:right w:type="dxa" w:w="100"/>
            </w:tcMar>
          </w:tcPr>
          <w:p>
            <w:pPr>
              <w:jc w:val="left"/>
            </w:pPr>
            <w:r>
              <w:rPr>
                <w:b w:val="false"/>
                <w:bCs w:val="false"/>
                <w:color w:val="000000"/>
                <w:sz w:val="20"/>
                <w:szCs w:val="20"/>
              </w:rPr>
              <w:t xml:space="preserve">Reporting &amp; mobile app</w:t>
            </w:r>
          </w:p>
        </w:tc>
        <w:tc>
          <w:tcPr>
            <w:tcW w:type="dxa" w:w="5680"/>
            <w:tcMar>
              <w:top w:type="dxa" w:w="80"/>
              <w:left w:type="dxa" w:w="100"/>
              <w:bottom w:type="dxa" w:w="80"/>
              <w:right w:type="dxa" w:w="100"/>
            </w:tcMar>
          </w:tcPr>
          <w:p>
            <w:pPr>
              <w:jc w:val="left"/>
            </w:pPr>
            <w:r>
              <w:rPr>
                <w:b w:val="false"/>
                <w:bCs w:val="false"/>
                <w:color w:val="000000"/>
                <w:sz w:val="20"/>
                <w:szCs w:val="20"/>
              </w:rPr>
              <w:t xml:space="preserve">Sales/Expense graphs (D/W/M/Y); mobile app for order-taking and alerts; daily morning digest</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Phase 6</w:t>
            </w:r>
          </w:p>
        </w:tc>
        <w:tc>
          <w:tcPr>
            <w:tcW w:type="dxa" w:w="2900"/>
            <w:tcMar>
              <w:top w:type="dxa" w:w="80"/>
              <w:left w:type="dxa" w:w="100"/>
              <w:bottom w:type="dxa" w:w="80"/>
              <w:right w:type="dxa" w:w="100"/>
            </w:tcMar>
          </w:tcPr>
          <w:p>
            <w:pPr>
              <w:jc w:val="left"/>
            </w:pPr>
            <w:r>
              <w:rPr>
                <w:b w:val="false"/>
                <w:bCs w:val="false"/>
                <w:color w:val="000000"/>
                <w:sz w:val="20"/>
                <w:szCs w:val="20"/>
              </w:rPr>
              <w:t xml:space="preserve">Hardening &amp; rollout</w:t>
            </w:r>
          </w:p>
        </w:tc>
        <w:tc>
          <w:tcPr>
            <w:tcW w:type="dxa" w:w="5680"/>
            <w:tcMar>
              <w:top w:type="dxa" w:w="80"/>
              <w:left w:type="dxa" w:w="100"/>
              <w:bottom w:type="dxa" w:w="80"/>
              <w:right w:type="dxa" w:w="100"/>
            </w:tcMar>
          </w:tcPr>
          <w:p>
            <w:pPr>
              <w:jc w:val="left"/>
            </w:pPr>
            <w:r>
              <w:rPr>
                <w:b w:val="false"/>
                <w:bCs w:val="false"/>
                <w:color w:val="000000"/>
                <w:sz w:val="20"/>
                <w:szCs w:val="20"/>
              </w:rPr>
              <w:t xml:space="preserve">Role-based permissions audit, load/security testing, staff training, phased rollout from one counter to full shop</w:t>
            </w:r>
          </w:p>
        </w:tc>
      </w:tr>
    </w:tbl>
    <w:p>
      <w:pPr>
        <w:pStyle w:val="Heading1"/>
        <w:spacing w:after="180" w:before="360"/>
      </w:pPr>
      <w:r>
        <w:t xml:space="preserve">9. Team Roles &amp; Responsibilities</w:t>
      </w:r>
    </w:p>
    <w:p>
      <w:pPr>
        <w:spacing w:after="160"/>
      </w:pPr>
      <w:r>
        <w:t xml:space="preserve">Your update raised two fair points worth encoding directly into the plan: (1) deployment/setup should not sit with one person indefinitely, and (2) status should be visible without anyone needing to ask. The roadmap above gives concrete, checkable phases; the table below proposes a starting split so ownership is explicit rather than assumed.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0"/>
        <w:gridCol w:w="2500"/>
        <w:gridCol w:w="4480"/>
      </w:tblGrid>
      <w:tr>
        <w:trPr>
          <w:tblHeader/>
        </w:trPr>
        <w:tc>
          <w:tcPr>
            <w:tcW w:type="dxa" w:w="3100"/>
            <w:shd w:fill="1F3864" w:val="clear"/>
            <w:tcMar>
              <w:top w:type="dxa" w:w="80"/>
              <w:left w:type="dxa" w:w="100"/>
              <w:bottom w:type="dxa" w:w="80"/>
              <w:right w:type="dxa" w:w="100"/>
            </w:tcMar>
          </w:tcPr>
          <w:p>
            <w:pPr>
              <w:jc w:val="left"/>
            </w:pPr>
            <w:r>
              <w:rPr>
                <w:b/>
                <w:bCs/>
                <w:color w:val="FFFFFF"/>
                <w:sz w:val="20"/>
                <w:szCs w:val="20"/>
              </w:rPr>
              <w:t xml:space="preserve">Role</w:t>
            </w:r>
          </w:p>
        </w:tc>
        <w:tc>
          <w:tcPr>
            <w:tcW w:type="dxa" w:w="2500"/>
            <w:shd w:fill="1F3864" w:val="clear"/>
            <w:tcMar>
              <w:top w:type="dxa" w:w="80"/>
              <w:left w:type="dxa" w:w="100"/>
              <w:bottom w:type="dxa" w:w="80"/>
              <w:right w:type="dxa" w:w="100"/>
            </w:tcMar>
          </w:tcPr>
          <w:p>
            <w:pPr>
              <w:jc w:val="left"/>
            </w:pPr>
            <w:r>
              <w:rPr>
                <w:b/>
                <w:bCs/>
                <w:color w:val="FFFFFF"/>
                <w:sz w:val="20"/>
                <w:szCs w:val="20"/>
              </w:rPr>
              <w:t xml:space="preserve">Suggested Owner</w:t>
            </w:r>
          </w:p>
        </w:tc>
        <w:tc>
          <w:tcPr>
            <w:tcW w:type="dxa" w:w="4480"/>
            <w:shd w:fill="1F3864" w:val="clear"/>
            <w:tcMar>
              <w:top w:type="dxa" w:w="80"/>
              <w:left w:type="dxa" w:w="100"/>
              <w:bottom w:type="dxa" w:w="80"/>
              <w:right w:type="dxa" w:w="100"/>
            </w:tcMar>
          </w:tcPr>
          <w:p>
            <w:pPr>
              <w:jc w:val="left"/>
            </w:pPr>
            <w:r>
              <w:rPr>
                <w:b/>
                <w:bCs/>
                <w:color w:val="FFFFFF"/>
                <w:sz w:val="20"/>
                <w:szCs w:val="20"/>
              </w:rPr>
              <w:t xml:space="preserve">Responsibility</w:t>
            </w:r>
          </w:p>
        </w:tc>
      </w:tr>
      <w:tr>
        <w:tc>
          <w:tcPr>
            <w:tcW w:type="dxa" w:w="3100"/>
            <w:tcMar>
              <w:top w:type="dxa" w:w="80"/>
              <w:left w:type="dxa" w:w="100"/>
              <w:bottom w:type="dxa" w:w="80"/>
              <w:right w:type="dxa" w:w="100"/>
            </w:tcMar>
          </w:tcPr>
          <w:p>
            <w:pPr>
              <w:jc w:val="left"/>
            </w:pPr>
            <w:r>
              <w:rPr>
                <w:b w:val="false"/>
                <w:bCs w:val="false"/>
                <w:color w:val="000000"/>
                <w:sz w:val="20"/>
                <w:szCs w:val="20"/>
              </w:rPr>
              <w:t xml:space="preserve">Backend &amp; data model (pricing engine, APIs)</w:t>
            </w:r>
          </w:p>
        </w:tc>
        <w:tc>
          <w:tcPr>
            <w:tcW w:type="dxa" w:w="2500"/>
            <w:tcMar>
              <w:top w:type="dxa" w:w="80"/>
              <w:left w:type="dxa" w:w="100"/>
              <w:bottom w:type="dxa" w:w="80"/>
              <w:right w:type="dxa" w:w="100"/>
            </w:tcMar>
          </w:tcPr>
          <w:p>
            <w:pPr>
              <w:jc w:val="left"/>
            </w:pPr>
            <w:r>
              <w:rPr>
                <w:b w:val="false"/>
                <w:bCs w:val="false"/>
                <w:color w:val="000000"/>
                <w:sz w:val="20"/>
                <w:szCs w:val="20"/>
              </w:rPr>
              <w:t xml:space="preserve">Antony (+ backend contributor TBD)</w:t>
            </w:r>
          </w:p>
        </w:tc>
        <w:tc>
          <w:tcPr>
            <w:tcW w:type="dxa" w:w="4480"/>
            <w:tcMar>
              <w:top w:type="dxa" w:w="80"/>
              <w:left w:type="dxa" w:w="100"/>
              <w:bottom w:type="dxa" w:w="80"/>
              <w:right w:type="dxa" w:w="100"/>
            </w:tcMar>
          </w:tcPr>
          <w:p>
            <w:pPr>
              <w:jc w:val="left"/>
            </w:pPr>
            <w:r>
              <w:rPr>
                <w:b w:val="false"/>
                <w:bCs w:val="false"/>
                <w:color w:val="000000"/>
                <w:sz w:val="20"/>
                <w:szCs w:val="20"/>
              </w:rPr>
              <w:t xml:space="preserve">Own FastAPI services, DB schema, and the pricing-engine correctness against the rate card</w:t>
            </w:r>
          </w:p>
        </w:tc>
      </w:tr>
      <w:tr>
        <w:tc>
          <w:tcPr>
            <w:tcW w:type="dxa" w:w="3100"/>
            <w:tcMar>
              <w:top w:type="dxa" w:w="80"/>
              <w:left w:type="dxa" w:w="100"/>
              <w:bottom w:type="dxa" w:w="80"/>
              <w:right w:type="dxa" w:w="100"/>
            </w:tcMar>
          </w:tcPr>
          <w:p>
            <w:pPr>
              <w:jc w:val="left"/>
            </w:pPr>
            <w:r>
              <w:rPr>
                <w:b w:val="false"/>
                <w:bCs w:val="false"/>
                <w:color w:val="000000"/>
                <w:sz w:val="20"/>
                <w:szCs w:val="20"/>
              </w:rPr>
              <w:t xml:space="preserve">Frontend (web)</w:t>
            </w:r>
          </w:p>
        </w:tc>
        <w:tc>
          <w:tcPr>
            <w:tcW w:type="dxa" w:w="2500"/>
            <w:tcMar>
              <w:top w:type="dxa" w:w="80"/>
              <w:left w:type="dxa" w:w="100"/>
              <w:bottom w:type="dxa" w:w="80"/>
              <w:right w:type="dxa" w:w="100"/>
            </w:tcMar>
          </w:tcPr>
          <w:p>
            <w:pPr>
              <w:jc w:val="left"/>
            </w:pPr>
            <w:r>
              <w:rPr>
                <w:b w:val="false"/>
                <w:bCs w:val="false"/>
                <w:color w:val="000000"/>
                <w:sz w:val="20"/>
                <w:szCs w:val="20"/>
              </w:rPr>
              <w:t xml:space="preserve">Mercy / frontend contributor</w:t>
            </w:r>
          </w:p>
        </w:tc>
        <w:tc>
          <w:tcPr>
            <w:tcW w:type="dxa" w:w="4480"/>
            <w:tcMar>
              <w:top w:type="dxa" w:w="80"/>
              <w:left w:type="dxa" w:w="100"/>
              <w:bottom w:type="dxa" w:w="80"/>
              <w:right w:type="dxa" w:w="100"/>
            </w:tcMar>
          </w:tcPr>
          <w:p>
            <w:pPr>
              <w:jc w:val="left"/>
            </w:pPr>
            <w:r>
              <w:rPr>
                <w:b w:val="false"/>
                <w:bCs w:val="false"/>
                <w:color w:val="000000"/>
                <w:sz w:val="20"/>
                <w:szCs w:val="20"/>
              </w:rPr>
              <w:t xml:space="preserve">React UI for catalogue admin, sales documents, job board, reports</w:t>
            </w:r>
          </w:p>
        </w:tc>
      </w:tr>
      <w:tr>
        <w:tc>
          <w:tcPr>
            <w:tcW w:type="dxa" w:w="3100"/>
            <w:tcMar>
              <w:top w:type="dxa" w:w="80"/>
              <w:left w:type="dxa" w:w="100"/>
              <w:bottom w:type="dxa" w:w="80"/>
              <w:right w:type="dxa" w:w="100"/>
            </w:tcMar>
          </w:tcPr>
          <w:p>
            <w:pPr>
              <w:jc w:val="left"/>
            </w:pPr>
            <w:r>
              <w:rPr>
                <w:b w:val="false"/>
                <w:bCs w:val="false"/>
                <w:color w:val="000000"/>
                <w:sz w:val="20"/>
                <w:szCs w:val="20"/>
              </w:rPr>
              <w:t xml:space="preserve">Mobile app</w:t>
            </w:r>
          </w:p>
        </w:tc>
        <w:tc>
          <w:tcPr>
            <w:tcW w:type="dxa" w:w="2500"/>
            <w:tcMar>
              <w:top w:type="dxa" w:w="80"/>
              <w:left w:type="dxa" w:w="100"/>
              <w:bottom w:type="dxa" w:w="80"/>
              <w:right w:type="dxa" w:w="100"/>
            </w:tcMar>
          </w:tcPr>
          <w:p>
            <w:pPr>
              <w:jc w:val="left"/>
            </w:pPr>
            <w:r>
              <w:rPr>
                <w:b w:val="false"/>
                <w:bCs w:val="false"/>
                <w:color w:val="000000"/>
                <w:sz w:val="20"/>
                <w:szCs w:val="20"/>
              </w:rPr>
              <w:t xml:space="preserve">TBD – to be assigned</w:t>
            </w:r>
          </w:p>
        </w:tc>
        <w:tc>
          <w:tcPr>
            <w:tcW w:type="dxa" w:w="4480"/>
            <w:tcMar>
              <w:top w:type="dxa" w:w="80"/>
              <w:left w:type="dxa" w:w="100"/>
              <w:bottom w:type="dxa" w:w="80"/>
              <w:right w:type="dxa" w:w="100"/>
            </w:tcMar>
          </w:tcPr>
          <w:p>
            <w:pPr>
              <w:jc w:val="left"/>
            </w:pPr>
            <w:r>
              <w:rPr>
                <w:b w:val="false"/>
                <w:bCs w:val="false"/>
                <w:color w:val="000000"/>
                <w:sz w:val="20"/>
                <w:szCs w:val="20"/>
              </w:rPr>
              <w:t xml:space="preserve">Order-taking, alerts, offline sync</w:t>
            </w:r>
          </w:p>
        </w:tc>
      </w:tr>
      <w:tr>
        <w:tc>
          <w:tcPr>
            <w:tcW w:type="dxa" w:w="3100"/>
            <w:tcMar>
              <w:top w:type="dxa" w:w="80"/>
              <w:left w:type="dxa" w:w="100"/>
              <w:bottom w:type="dxa" w:w="80"/>
              <w:right w:type="dxa" w:w="100"/>
            </w:tcMar>
          </w:tcPr>
          <w:p>
            <w:pPr>
              <w:jc w:val="left"/>
            </w:pPr>
            <w:r>
              <w:rPr>
                <w:b w:val="false"/>
                <w:bCs w:val="false"/>
                <w:color w:val="000000"/>
                <w:sz w:val="20"/>
                <w:szCs w:val="20"/>
              </w:rPr>
              <w:t xml:space="preserve">DevOps / deployment</w:t>
            </w:r>
          </w:p>
        </w:tc>
        <w:tc>
          <w:tcPr>
            <w:tcW w:type="dxa" w:w="2500"/>
            <w:tcMar>
              <w:top w:type="dxa" w:w="80"/>
              <w:left w:type="dxa" w:w="100"/>
              <w:bottom w:type="dxa" w:w="80"/>
              <w:right w:type="dxa" w:w="100"/>
            </w:tcMar>
          </w:tcPr>
          <w:p>
            <w:pPr>
              <w:jc w:val="left"/>
            </w:pPr>
            <w:r>
              <w:rPr>
                <w:b w:val="false"/>
                <w:bCs w:val="false"/>
                <w:color w:val="000000"/>
                <w:sz w:val="20"/>
                <w:szCs w:val="20"/>
              </w:rPr>
              <w:t xml:space="preserve">Antony, until a dedicated owner is assigned</w:t>
            </w:r>
          </w:p>
        </w:tc>
        <w:tc>
          <w:tcPr>
            <w:tcW w:type="dxa" w:w="4480"/>
            <w:tcMar>
              <w:top w:type="dxa" w:w="80"/>
              <w:left w:type="dxa" w:w="100"/>
              <w:bottom w:type="dxa" w:w="80"/>
              <w:right w:type="dxa" w:w="100"/>
            </w:tcMar>
          </w:tcPr>
          <w:p>
            <w:pPr>
              <w:jc w:val="left"/>
            </w:pPr>
            <w:r>
              <w:rPr>
                <w:b w:val="false"/>
                <w:bCs w:val="false"/>
                <w:color w:val="000000"/>
                <w:sz w:val="20"/>
                <w:szCs w:val="20"/>
              </w:rPr>
              <w:t xml:space="preserve">CI/CD, staging &amp; production environments, backups — recommend rotating or formally assigning this once Phase 1 lands so it isn't a single point of dependency</w:t>
            </w:r>
          </w:p>
        </w:tc>
      </w:tr>
      <w:tr>
        <w:tc>
          <w:tcPr>
            <w:tcW w:type="dxa" w:w="3100"/>
            <w:tcMar>
              <w:top w:type="dxa" w:w="80"/>
              <w:left w:type="dxa" w:w="100"/>
              <w:bottom w:type="dxa" w:w="80"/>
              <w:right w:type="dxa" w:w="100"/>
            </w:tcMar>
          </w:tcPr>
          <w:p>
            <w:pPr>
              <w:jc w:val="left"/>
            </w:pPr>
            <w:r>
              <w:rPr>
                <w:b w:val="false"/>
                <w:bCs w:val="false"/>
                <w:color w:val="000000"/>
                <w:sz w:val="20"/>
                <w:szCs w:val="20"/>
              </w:rPr>
              <w:t xml:space="preserve">Product/domain owner (rate card, business rules)</w:t>
            </w:r>
          </w:p>
        </w:tc>
        <w:tc>
          <w:tcPr>
            <w:tcW w:type="dxa" w:w="2500"/>
            <w:tcMar>
              <w:top w:type="dxa" w:w="80"/>
              <w:left w:type="dxa" w:w="100"/>
              <w:bottom w:type="dxa" w:w="80"/>
              <w:right w:type="dxa" w:w="100"/>
            </w:tcMar>
          </w:tcPr>
          <w:p>
            <w:pPr>
              <w:jc w:val="left"/>
            </w:pPr>
            <w:r>
              <w:rPr>
                <w:b w:val="false"/>
                <w:bCs w:val="false"/>
                <w:color w:val="000000"/>
                <w:sz w:val="20"/>
                <w:szCs w:val="20"/>
              </w:rPr>
              <w:t xml:space="preserve">Owner/management + Antony</w:t>
            </w:r>
          </w:p>
        </w:tc>
        <w:tc>
          <w:tcPr>
            <w:tcW w:type="dxa" w:w="4480"/>
            <w:tcMar>
              <w:top w:type="dxa" w:w="80"/>
              <w:left w:type="dxa" w:w="100"/>
              <w:bottom w:type="dxa" w:w="80"/>
              <w:right w:type="dxa" w:w="100"/>
            </w:tcMar>
          </w:tcPr>
          <w:p>
            <w:pPr>
              <w:jc w:val="left"/>
            </w:pPr>
            <w:r>
              <w:rPr>
                <w:b w:val="false"/>
                <w:bCs w:val="false"/>
                <w:color w:val="000000"/>
                <w:sz w:val="20"/>
                <w:szCs w:val="20"/>
              </w:rPr>
              <w:t xml:space="preserve">Validate every price-matrix entry against actual shop pricing before go-live</w:t>
            </w:r>
          </w:p>
        </w:tc>
      </w:tr>
      <w:tr>
        <w:tc>
          <w:tcPr>
            <w:tcW w:type="dxa" w:w="3100"/>
            <w:tcMar>
              <w:top w:type="dxa" w:w="80"/>
              <w:left w:type="dxa" w:w="100"/>
              <w:bottom w:type="dxa" w:w="80"/>
              <w:right w:type="dxa" w:w="100"/>
            </w:tcMar>
          </w:tcPr>
          <w:p>
            <w:pPr>
              <w:jc w:val="left"/>
            </w:pPr>
            <w:r>
              <w:rPr>
                <w:b w:val="false"/>
                <w:bCs w:val="false"/>
                <w:color w:val="000000"/>
                <w:sz w:val="20"/>
                <w:szCs w:val="20"/>
              </w:rPr>
              <w:t xml:space="preserve">QA / staging sign-off</w:t>
            </w:r>
          </w:p>
        </w:tc>
        <w:tc>
          <w:tcPr>
            <w:tcW w:type="dxa" w:w="2500"/>
            <w:tcMar>
              <w:top w:type="dxa" w:w="80"/>
              <w:left w:type="dxa" w:w="100"/>
              <w:bottom w:type="dxa" w:w="80"/>
              <w:right w:type="dxa" w:w="100"/>
            </w:tcMar>
          </w:tcPr>
          <w:p>
            <w:pPr>
              <w:jc w:val="left"/>
            </w:pPr>
            <w:r>
              <w:rPr>
                <w:b w:val="false"/>
                <w:bCs w:val="false"/>
                <w:color w:val="000000"/>
                <w:sz w:val="20"/>
                <w:szCs w:val="20"/>
              </w:rPr>
              <w:t xml:space="preserve">Whole team, staging environment</w:t>
            </w:r>
          </w:p>
        </w:tc>
        <w:tc>
          <w:tcPr>
            <w:tcW w:type="dxa" w:w="4480"/>
            <w:tcMar>
              <w:top w:type="dxa" w:w="80"/>
              <w:left w:type="dxa" w:w="100"/>
              <w:bottom w:type="dxa" w:w="80"/>
              <w:right w:type="dxa" w:w="100"/>
            </w:tcMar>
          </w:tcPr>
          <w:p>
            <w:pPr>
              <w:jc w:val="left"/>
            </w:pPr>
            <w:r>
              <w:rPr>
                <w:b w:val="false"/>
                <w:bCs w:val="false"/>
                <w:color w:val="000000"/>
                <w:sz w:val="20"/>
                <w:szCs w:val="20"/>
              </w:rPr>
              <w:t xml:space="preserve">Every PR verified in staging before merging to main</w:t>
            </w:r>
          </w:p>
        </w:tc>
      </w:tr>
    </w:tbl>
    <w:p>
      <w:pPr>
        <w:spacing w:after="160"/>
      </w:pPr>
      <w:r>
        <w:rPr>
          <w:i/>
          <w:iCs/>
        </w:rPr>
        <w:t xml:space="preserve">Recommend a short weekly sync (15–20 min) covering: what merged this week, what's in staging, what's blocked, and next week's phase target — this satisfies the “proper updates on PoC, requirements and scope changes” request without needing ad-hoc status chases.</w:t>
      </w:r>
    </w:p>
    <w:p>
      <w:pPr>
        <w:pStyle w:val="Heading1"/>
        <w:spacing w:after="180" w:before="360"/>
      </w:pPr>
      <w:r>
        <w:t xml:space="preserve">10. Immediate Next Steps</w:t>
      </w:r>
    </w:p>
    <w:p>
      <w:pPr>
        <w:pStyle w:val="ListParagraph"/>
        <w:numPr>
          <w:ilvl w:val="0"/>
          <w:numId w:val="2"/>
        </w:numPr>
        <w:spacing w:after="80"/>
      </w:pPr>
      <w:r>
        <w:t xml:space="preserve">Consolidate the FastAPI/React demo and this static site into one repository (or clarify that the static site is a separate marketing property, not the ERP)</w:t>
      </w:r>
    </w:p>
    <w:p>
      <w:pPr>
        <w:pStyle w:val="ListParagraph"/>
        <w:numPr>
          <w:ilvl w:val="0"/>
          <w:numId w:val="2"/>
        </w:numPr>
        <w:spacing w:after="80"/>
      </w:pPr>
      <w:r>
        <w:t xml:space="preserve">Digitise the full rate card from the PDF into the ProductCategory/Attribute/PriceMatrix tables (Phase 1) — a first, code-scaffolded version accompanies this document</w:t>
      </w:r>
    </w:p>
    <w:p>
      <w:pPr>
        <w:pStyle w:val="ListParagraph"/>
        <w:numPr>
          <w:ilvl w:val="0"/>
          <w:numId w:val="2"/>
        </w:numPr>
        <w:spacing w:after="80"/>
      </w:pPr>
      <w:r>
        <w:t xml:space="preserve">Assign the roles in Section 9 and confirm the phase-1 target date with Antony and Mercy</w:t>
      </w:r>
    </w:p>
    <w:p>
      <w:pPr>
        <w:pStyle w:val="ListParagraph"/>
        <w:numPr>
          <w:ilvl w:val="0"/>
          <w:numId w:val="2"/>
        </w:numPr>
        <w:spacing w:after="80"/>
      </w:pPr>
      <w:r>
        <w:t xml:space="preserve">Set up branch protection + staging so all future “latest code” concerns are structural, not procedural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b/>
      <w:bCs/>
      <w:color w:val="1F3864"/>
      <w:sz w:val="32"/>
      <w:szCs w:val="32"/>
    </w:rPr>
  </w:style>
  <w:style w:type="paragraph" w:styleId="Heading2">
    <w:name w:val="Heading 2"/>
    <w:basedOn w:val="Normal"/>
    <w:next w:val="Normal"/>
    <w:qFormat/>
    <w:pPr>
      <w:spacing w:after="140" w:before="280"/>
      <w:outlineLvl w:val="1"/>
    </w:pPr>
    <w:rPr>
      <w:b/>
      <w:bCs/>
      <w:color w:val="1F3864"/>
      <w:sz w:val="26"/>
      <w:szCs w:val="26"/>
    </w:rPr>
  </w:style>
  <w:style w:type="paragraph" w:styleId="Heading3">
    <w:name w:val="Heading 3"/>
    <w:basedOn w:val="Normal"/>
    <w:next w:val="Normal"/>
    <w:qFormat/>
    <w:pPr>
      <w:spacing w:after="100" w:before="200"/>
      <w:outlineLvl w:val="2"/>
    </w:pPr>
    <w:rPr>
      <w:b/>
      <w:bCs/>
      <w:color w:val="C55A1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2026-07-27T18:57:44.130Z</dcterms:created>
  <dcterms:modified xsi:type="dcterms:W3CDTF">2026-07-27T18:57:44.130Z</dcterms:modified>
</cp:coreProperties>
</file>

<file path=docProps/custom.xml><?xml version="1.0" encoding="utf-8"?>
<Properties xmlns="http://schemas.openxmlformats.org/officeDocument/2006/custom-properties" xmlns:vt="http://schemas.openxmlformats.org/officeDocument/2006/docPropsVTypes"/>
</file>