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D0EE" w14:textId="77777777" w:rsidR="00380CCD" w:rsidRPr="00C3547F" w:rsidRDefault="00000000">
      <w:pPr>
        <w:spacing w:line="288" w:lineRule="auto"/>
        <w:jc w:val="center"/>
        <w:rPr>
          <w:rFonts w:eastAsia="SimHei"/>
          <w:b/>
          <w:color w:val="000000"/>
          <w:sz w:val="24"/>
        </w:rPr>
      </w:pPr>
      <w:r w:rsidRPr="00C3547F">
        <w:rPr>
          <w:rFonts w:eastAsia="SimHei"/>
          <w:b/>
          <w:color w:val="000000"/>
          <w:sz w:val="24"/>
        </w:rPr>
        <w:t>Representations of ETF and Fund Allocation Information:</w:t>
      </w:r>
    </w:p>
    <w:p w14:paraId="36481619" w14:textId="77777777" w:rsidR="00380CCD" w:rsidRPr="00C3547F" w:rsidRDefault="00000000">
      <w:pPr>
        <w:spacing w:after="120" w:line="288" w:lineRule="auto"/>
        <w:jc w:val="center"/>
        <w:rPr>
          <w:rFonts w:eastAsia="SimHei"/>
          <w:b/>
          <w:color w:val="000000"/>
          <w:sz w:val="24"/>
        </w:rPr>
      </w:pPr>
      <w:bookmarkStart w:id="0" w:name="OLE_LINK4"/>
      <w:r w:rsidRPr="00C3547F">
        <w:rPr>
          <w:rFonts w:eastAsia="SimHei"/>
          <w:b/>
          <w:color w:val="000000"/>
          <w:sz w:val="24"/>
        </w:rPr>
        <w:t xml:space="preserve">A Historical Review </w:t>
      </w:r>
      <w:bookmarkEnd w:id="0"/>
      <w:r w:rsidRPr="00C3547F">
        <w:rPr>
          <w:rFonts w:eastAsia="SimHei"/>
          <w:b/>
          <w:color w:val="000000"/>
          <w:sz w:val="24"/>
        </w:rPr>
        <w:t>and Comparative Analysis</w:t>
      </w:r>
    </w:p>
    <w:p w14:paraId="1DB98DA0" w14:textId="77777777" w:rsidR="00987A9A" w:rsidRPr="00C3547F" w:rsidRDefault="00987A9A" w:rsidP="004A51A6">
      <w:pPr>
        <w:spacing w:before="200" w:after="80" w:line="240" w:lineRule="auto"/>
        <w:rPr>
          <w:rFonts w:eastAsia="SimHei"/>
          <w:b/>
          <w:color w:val="000000"/>
          <w:sz w:val="24"/>
        </w:rPr>
      </w:pPr>
      <w:r w:rsidRPr="00C3547F">
        <w:rPr>
          <w:rFonts w:eastAsia="SimHei"/>
          <w:b/>
          <w:color w:val="000000"/>
          <w:sz w:val="24"/>
        </w:rPr>
        <w:t>A Historical Review</w:t>
      </w:r>
      <w:r w:rsidRPr="00C3547F">
        <w:rPr>
          <w:rFonts w:eastAsia="SimHei" w:hint="eastAsia"/>
          <w:b/>
          <w:color w:val="000000"/>
          <w:sz w:val="24"/>
        </w:rPr>
        <w:t xml:space="preserve">: </w:t>
      </w:r>
    </w:p>
    <w:p w14:paraId="53B9EC25" w14:textId="149B1D23" w:rsidR="004A51A6" w:rsidRDefault="004A51A6" w:rsidP="004A51A6">
      <w:pPr>
        <w:spacing w:before="200" w:after="80" w:line="240" w:lineRule="auto"/>
        <w:rPr>
          <w:color w:val="000000"/>
          <w:sz w:val="20"/>
        </w:rPr>
      </w:pPr>
      <w:r>
        <w:rPr>
          <w:color w:val="000000"/>
          <w:sz w:val="20"/>
        </w:rPr>
        <w:t>Fund portfolio allocation data is a core information asset in global financial markets.</w:t>
      </w:r>
      <w:r w:rsidRPr="004A51A6">
        <w:rPr>
          <w:color w:val="000000"/>
          <w:sz w:val="20"/>
        </w:rPr>
        <w:t xml:space="preserve"> </w:t>
      </w:r>
      <w:r>
        <w:rPr>
          <w:color w:val="000000"/>
          <w:sz w:val="20"/>
        </w:rPr>
        <w:t xml:space="preserve">Its recording and representation have evolved from unstructured paper narratives to standardized structured data and semantic models, driven by regulatory transparency mandates, market efficiency demands, and </w:t>
      </w:r>
      <w:r>
        <w:rPr>
          <w:rFonts w:hint="eastAsia"/>
          <w:color w:val="000000"/>
          <w:sz w:val="20"/>
          <w:lang w:eastAsia="zh-CN"/>
        </w:rPr>
        <w:t>computer technology</w:t>
      </w:r>
      <w:r>
        <w:rPr>
          <w:color w:val="000000"/>
          <w:sz w:val="20"/>
        </w:rPr>
        <w:t>.</w:t>
      </w:r>
    </w:p>
    <w:p w14:paraId="1FD2679C" w14:textId="77777777" w:rsidR="004A51A6" w:rsidRPr="00882509" w:rsidRDefault="004A51A6" w:rsidP="004A51A6">
      <w:pPr>
        <w:pStyle w:val="ListParagraph"/>
        <w:numPr>
          <w:ilvl w:val="0"/>
          <w:numId w:val="10"/>
        </w:numPr>
        <w:spacing w:before="200" w:after="80" w:line="240" w:lineRule="auto"/>
        <w:rPr>
          <w:rFonts w:eastAsia="SimHei"/>
          <w:b/>
          <w:color w:val="000000"/>
          <w:sz w:val="24"/>
        </w:rPr>
      </w:pPr>
      <w:r>
        <w:rPr>
          <w:rFonts w:eastAsia="SimHei"/>
          <w:b/>
          <w:color w:val="000000"/>
          <w:sz w:val="24"/>
        </w:rPr>
        <w:t>Pre-Digital Narrative Disclosure (1940s–1990s)</w:t>
      </w:r>
    </w:p>
    <w:p w14:paraId="5C9E8C95" w14:textId="7E2C4454" w:rsidR="004A51A6" w:rsidRDefault="004A51A6" w:rsidP="004A51A6">
      <w:pPr>
        <w:spacing w:before="200" w:after="80" w:line="240" w:lineRule="auto"/>
        <w:ind w:left="360"/>
        <w:rPr>
          <w:color w:val="000000"/>
          <w:sz w:val="20"/>
        </w:rPr>
      </w:pPr>
      <w:r w:rsidRPr="004A51A6">
        <w:rPr>
          <w:color w:val="000000"/>
          <w:sz w:val="20"/>
        </w:rPr>
        <w:t>The modern foundation of fund holdings disclosure was established by the Investment Company Act of 1940, which required registered investment companies to disclose portfolio holdings in semi-annual shareholder reports and prospectuses [7].</w:t>
      </w:r>
      <w:r w:rsidRPr="004A51A6">
        <w:t xml:space="preserve"> </w:t>
      </w:r>
      <w:r w:rsidRPr="004A51A6">
        <w:rPr>
          <w:color w:val="000000"/>
          <w:sz w:val="20"/>
        </w:rPr>
        <w:t>For almost 50 years, holding data was recorded as plain-text tables in paper documents. There was no standard format for security identifiers, position attributes, or relationships between entities. Reporting happened only a few times a year, and it was designed for people to read, not for computers to process.</w:t>
      </w:r>
    </w:p>
    <w:p w14:paraId="18C248E5" w14:textId="0298F835" w:rsidR="004A51A6" w:rsidRDefault="004A51A6" w:rsidP="004A51A6">
      <w:pPr>
        <w:spacing w:before="200" w:after="80" w:line="240" w:lineRule="auto"/>
        <w:ind w:left="360"/>
        <w:rPr>
          <w:color w:val="000000"/>
          <w:sz w:val="20"/>
          <w:lang w:val="en-CA" w:eastAsia="zh-CN"/>
        </w:rPr>
      </w:pPr>
      <w:r w:rsidRPr="004A51A6">
        <w:rPr>
          <w:color w:val="000000"/>
          <w:sz w:val="20"/>
          <w:lang w:val="en-CA"/>
        </w:rPr>
        <w:t>This system achieved basic regulatory transparency. However, comparing holdings across funds required manual data extraction. There was also no consistent way to link holdings to asset classification systems</w:t>
      </w:r>
      <w:r>
        <w:rPr>
          <w:rFonts w:hint="eastAsia"/>
          <w:color w:val="000000"/>
          <w:sz w:val="20"/>
          <w:lang w:val="en-CA" w:eastAsia="zh-CN"/>
        </w:rPr>
        <w:t xml:space="preserve">. </w:t>
      </w:r>
      <w:r w:rsidRPr="004A51A6">
        <w:rPr>
          <w:color w:val="000000"/>
          <w:sz w:val="20"/>
          <w:lang w:val="en-CA"/>
        </w:rPr>
        <w:t xml:space="preserve"> </w:t>
      </w:r>
      <w:r>
        <w:rPr>
          <w:rFonts w:hint="eastAsia"/>
          <w:color w:val="000000"/>
          <w:sz w:val="20"/>
          <w:lang w:val="en-CA" w:eastAsia="zh-CN"/>
        </w:rPr>
        <w:t>T</w:t>
      </w:r>
      <w:r w:rsidRPr="004A51A6">
        <w:rPr>
          <w:color w:val="000000"/>
          <w:sz w:val="20"/>
          <w:lang w:val="en-CA"/>
        </w:rPr>
        <w:t>his era introduced the key information entities: fund, security, holding quantity, and reporting date. But their structural relationships were never clearly defined.</w:t>
      </w:r>
      <w:r>
        <w:rPr>
          <w:rFonts w:hint="eastAsia"/>
          <w:color w:val="000000"/>
          <w:sz w:val="20"/>
          <w:lang w:val="en-CA" w:eastAsia="zh-CN"/>
        </w:rPr>
        <w:t xml:space="preserve"> </w:t>
      </w:r>
    </w:p>
    <w:p w14:paraId="038B265F" w14:textId="13B6BB34" w:rsidR="003F54EF" w:rsidRPr="00882509" w:rsidRDefault="004A51A6" w:rsidP="003F54EF">
      <w:pPr>
        <w:pStyle w:val="ListParagraph"/>
        <w:numPr>
          <w:ilvl w:val="0"/>
          <w:numId w:val="10"/>
        </w:numPr>
        <w:spacing w:before="200" w:after="80" w:line="240" w:lineRule="auto"/>
        <w:rPr>
          <w:rFonts w:eastAsia="SimHei"/>
          <w:b/>
          <w:color w:val="000000"/>
          <w:sz w:val="24"/>
        </w:rPr>
      </w:pPr>
      <w:r>
        <w:rPr>
          <w:rFonts w:eastAsia="SimHei"/>
          <w:b/>
          <w:color w:val="000000"/>
          <w:sz w:val="24"/>
        </w:rPr>
        <w:t>Electronic Filing and ETF Daily Transparency (1990s–2010s)</w:t>
      </w:r>
    </w:p>
    <w:p w14:paraId="6AA6E35F" w14:textId="7B215843" w:rsidR="003F54EF" w:rsidRPr="003F54EF" w:rsidRDefault="003F54EF" w:rsidP="003F54EF">
      <w:pPr>
        <w:spacing w:before="200" w:after="80" w:line="240" w:lineRule="auto"/>
        <w:ind w:left="360"/>
        <w:rPr>
          <w:color w:val="000000"/>
          <w:sz w:val="20"/>
          <w:lang w:val="en-CA" w:eastAsia="zh-CN"/>
        </w:rPr>
      </w:pPr>
      <w:r w:rsidRPr="003F54EF">
        <w:rPr>
          <w:color w:val="000000"/>
          <w:sz w:val="20"/>
          <w:lang w:val="en-CA" w:eastAsia="zh-CN"/>
        </w:rPr>
        <w:t>The 1990s brought two major changes.</w:t>
      </w:r>
    </w:p>
    <w:p w14:paraId="1F6D9299" w14:textId="36D14296" w:rsidR="003F54EF" w:rsidRPr="003F54EF" w:rsidRDefault="003F54EF" w:rsidP="003F54EF">
      <w:pPr>
        <w:spacing w:before="200" w:after="80" w:line="240" w:lineRule="auto"/>
        <w:ind w:left="360"/>
        <w:rPr>
          <w:color w:val="000000"/>
          <w:sz w:val="20"/>
          <w:lang w:val="en-CA" w:eastAsia="zh-CN"/>
        </w:rPr>
      </w:pPr>
      <w:r w:rsidRPr="003F54EF">
        <w:rPr>
          <w:color w:val="000000"/>
          <w:sz w:val="20"/>
          <w:lang w:val="en-CA" w:eastAsia="zh-CN"/>
        </w:rPr>
        <w:t xml:space="preserve">First, </w:t>
      </w:r>
      <w:r w:rsidRPr="003F54EF">
        <w:rPr>
          <w:color w:val="000000"/>
          <w:sz w:val="20"/>
          <w:lang w:eastAsia="zh-CN"/>
        </w:rPr>
        <w:t>U.S. Securities and Exchange Commission</w:t>
      </w:r>
      <w:r>
        <w:rPr>
          <w:rFonts w:hint="eastAsia"/>
          <w:color w:val="000000"/>
          <w:sz w:val="20"/>
          <w:lang w:eastAsia="zh-CN"/>
        </w:rPr>
        <w:t>,</w:t>
      </w:r>
      <w:r w:rsidRPr="003F54EF">
        <w:rPr>
          <w:color w:val="000000"/>
          <w:sz w:val="20"/>
          <w:lang w:val="en-CA" w:eastAsia="zh-CN"/>
        </w:rPr>
        <w:t xml:space="preserve"> </w:t>
      </w:r>
      <w:r>
        <w:rPr>
          <w:rFonts w:hint="eastAsia"/>
          <w:color w:val="000000"/>
          <w:sz w:val="20"/>
          <w:lang w:val="en-CA" w:eastAsia="zh-CN"/>
        </w:rPr>
        <w:t xml:space="preserve">the </w:t>
      </w:r>
      <w:r w:rsidRPr="003F54EF">
        <w:rPr>
          <w:color w:val="000000"/>
          <w:sz w:val="20"/>
          <w:lang w:val="en-CA" w:eastAsia="zh-CN"/>
        </w:rPr>
        <w:t>SEC's EDGAR system completed its full rollout by 1996. It moved all regulatory filings from paper to digital documents [6]. This made disclosures easier to access, but the system was still document-based</w:t>
      </w:r>
      <w:r w:rsidR="00752928" w:rsidRPr="00752928">
        <w:rPr>
          <w:color w:val="000000"/>
          <w:sz w:val="20"/>
        </w:rPr>
        <w:t xml:space="preserve"> </w:t>
      </w:r>
      <w:r w:rsidR="00752928">
        <w:rPr>
          <w:color w:val="000000"/>
          <w:sz w:val="20"/>
        </w:rPr>
        <w:t>with no underlying structured data schema</w:t>
      </w:r>
      <w:r w:rsidR="00752928">
        <w:rPr>
          <w:rFonts w:hint="eastAsia"/>
          <w:color w:val="000000"/>
          <w:sz w:val="20"/>
          <w:lang w:eastAsia="zh-CN"/>
        </w:rPr>
        <w:t>.</w:t>
      </w:r>
    </w:p>
    <w:p w14:paraId="439AEEE2" w14:textId="6A3183B8" w:rsidR="003F54EF" w:rsidRPr="003F54EF" w:rsidRDefault="003F54EF" w:rsidP="00752928">
      <w:pPr>
        <w:spacing w:before="200" w:after="80" w:line="240" w:lineRule="auto"/>
        <w:ind w:left="360"/>
        <w:rPr>
          <w:color w:val="000000"/>
          <w:sz w:val="20"/>
          <w:lang w:val="en-CA" w:eastAsia="zh-CN"/>
        </w:rPr>
      </w:pPr>
      <w:r w:rsidRPr="003F54EF">
        <w:rPr>
          <w:color w:val="000000"/>
          <w:sz w:val="20"/>
          <w:lang w:val="en-CA" w:eastAsia="zh-CN"/>
        </w:rPr>
        <w:t>Second, the first U.S. ETF — the SPDR S&amp;P 500 ETF Trust (SPY) — was launched in 1993 [1]. It introduced a new disclosure model: daily portfolio transparency. This was needed to support the in-kind creation and redemption process that ETFs rely on.</w:t>
      </w:r>
      <w:r w:rsidR="00752928">
        <w:rPr>
          <w:rFonts w:hint="eastAsia"/>
          <w:color w:val="000000"/>
          <w:sz w:val="20"/>
          <w:lang w:val="en-CA" w:eastAsia="zh-CN"/>
        </w:rPr>
        <w:t xml:space="preserve"> </w:t>
      </w:r>
      <w:r w:rsidR="00752928">
        <w:rPr>
          <w:color w:val="000000"/>
          <w:sz w:val="20"/>
          <w:lang w:val="en-CA" w:eastAsia="zh-CN"/>
        </w:rPr>
        <w:t>A</w:t>
      </w:r>
      <w:r w:rsidR="00752928">
        <w:rPr>
          <w:rFonts w:hint="eastAsia"/>
          <w:color w:val="000000"/>
          <w:sz w:val="20"/>
          <w:lang w:val="en-CA" w:eastAsia="zh-CN"/>
        </w:rPr>
        <w:t>nd i</w:t>
      </w:r>
      <w:r w:rsidRPr="003F54EF">
        <w:rPr>
          <w:color w:val="000000"/>
          <w:sz w:val="20"/>
          <w:lang w:val="en-CA" w:eastAsia="zh-CN"/>
        </w:rPr>
        <w:t>n 2019, SEC Rule 6c-11 turned this into a formal requirement [12]. It required ETFs to publish their full portfolio holdings on their websites every business day before the market opened. However, even at this higher frequency, the disclosures were still provider-specific files, such as custom HTML or PDF. There was no uniform data structure across different issuers.</w:t>
      </w:r>
    </w:p>
    <w:p w14:paraId="6782D5E2" w14:textId="29CB3C8E" w:rsidR="003F54EF" w:rsidRPr="003F54EF" w:rsidRDefault="003F54EF" w:rsidP="003F54EF">
      <w:pPr>
        <w:spacing w:before="200" w:after="80" w:line="240" w:lineRule="auto"/>
        <w:ind w:left="360"/>
        <w:rPr>
          <w:color w:val="000000"/>
          <w:sz w:val="20"/>
          <w:lang w:val="en-CA" w:eastAsia="zh-CN"/>
        </w:rPr>
      </w:pPr>
    </w:p>
    <w:p w14:paraId="448A0183" w14:textId="031030EB" w:rsidR="003F54EF" w:rsidRPr="00882509" w:rsidRDefault="004A51A6" w:rsidP="003F54EF">
      <w:pPr>
        <w:pStyle w:val="ListParagraph"/>
        <w:numPr>
          <w:ilvl w:val="0"/>
          <w:numId w:val="10"/>
        </w:numPr>
        <w:spacing w:before="200" w:after="80" w:line="240" w:lineRule="auto"/>
        <w:rPr>
          <w:rFonts w:eastAsia="SimHei"/>
          <w:b/>
          <w:color w:val="000000"/>
          <w:sz w:val="24"/>
        </w:rPr>
      </w:pPr>
      <w:r>
        <w:rPr>
          <w:rFonts w:eastAsia="SimHei"/>
          <w:b/>
          <w:color w:val="000000"/>
          <w:sz w:val="24"/>
        </w:rPr>
        <w:t>Structured Regulatory Reporting (2009–2020)</w:t>
      </w:r>
    </w:p>
    <w:p w14:paraId="02626A33" w14:textId="7928F76E" w:rsidR="003F54EF" w:rsidRPr="003F54EF" w:rsidRDefault="00752928" w:rsidP="00752928">
      <w:pPr>
        <w:spacing w:before="200" w:after="80" w:line="240" w:lineRule="auto"/>
        <w:ind w:left="360"/>
        <w:rPr>
          <w:color w:val="000000"/>
          <w:sz w:val="20"/>
          <w:lang w:val="en-CA" w:eastAsia="zh-CN"/>
        </w:rPr>
      </w:pPr>
      <w:r>
        <w:rPr>
          <w:rFonts w:hint="eastAsia"/>
          <w:color w:val="000000"/>
          <w:sz w:val="20"/>
          <w:lang w:val="en-CA" w:eastAsia="zh-CN"/>
        </w:rPr>
        <w:t>After 2009, r</w:t>
      </w:r>
      <w:r w:rsidR="003F54EF" w:rsidRPr="003F54EF">
        <w:rPr>
          <w:color w:val="000000"/>
          <w:sz w:val="20"/>
          <w:lang w:val="en-CA" w:eastAsia="zh-CN"/>
        </w:rPr>
        <w:t>egulators responded to the inconsistent formats by introducing machine-readable data standards.</w:t>
      </w:r>
      <w:r>
        <w:rPr>
          <w:rFonts w:hint="eastAsia"/>
          <w:color w:val="000000"/>
          <w:sz w:val="20"/>
          <w:lang w:val="en-CA" w:eastAsia="zh-CN"/>
        </w:rPr>
        <w:t xml:space="preserve"> T</w:t>
      </w:r>
      <w:r w:rsidR="003F54EF" w:rsidRPr="003F54EF">
        <w:rPr>
          <w:color w:val="000000"/>
          <w:sz w:val="20"/>
          <w:lang w:val="en-CA" w:eastAsia="zh-CN"/>
        </w:rPr>
        <w:t>he SEC required funds to tag the risk/return sections of their prospectuses in XBRL. The tagging used a published taxonomy, which labeled summary metrics so that computers could extract them automatically [9].</w:t>
      </w:r>
    </w:p>
    <w:p w14:paraId="1490D79C" w14:textId="77777777" w:rsidR="003F54EF" w:rsidRPr="003F54EF" w:rsidRDefault="003F54EF" w:rsidP="003F54EF">
      <w:pPr>
        <w:spacing w:before="200" w:after="80" w:line="240" w:lineRule="auto"/>
        <w:ind w:left="360"/>
        <w:rPr>
          <w:color w:val="000000"/>
          <w:sz w:val="20"/>
          <w:lang w:val="en-CA" w:eastAsia="zh-CN"/>
        </w:rPr>
      </w:pPr>
      <w:r w:rsidRPr="003F54EF">
        <w:rPr>
          <w:color w:val="000000"/>
          <w:sz w:val="20"/>
          <w:lang w:val="en-CA" w:eastAsia="zh-CN"/>
        </w:rPr>
        <w:t>The biggest change came in 2016, when the SEC adopted Forms N-PORT and N-CEN. These forms replaced the old text-based reports with standardized XML filings [10, 11]. For the first time, position-level holdings data followed one uniform schema, with standardized security identifiers, quantity fields, and reporting periods. N-PORT collects monthly position data, which funds file every quarter, making detailed holdings systematically available.</w:t>
      </w:r>
    </w:p>
    <w:p w14:paraId="13AC2E2E" w14:textId="70B8C6B0" w:rsidR="003F54EF" w:rsidRPr="003F54EF" w:rsidRDefault="003F54EF" w:rsidP="003F54EF">
      <w:pPr>
        <w:spacing w:before="200" w:after="80" w:line="240" w:lineRule="auto"/>
        <w:ind w:left="360"/>
        <w:rPr>
          <w:color w:val="000000"/>
          <w:sz w:val="20"/>
          <w:lang w:val="en-CA" w:eastAsia="zh-CN"/>
        </w:rPr>
      </w:pPr>
      <w:r w:rsidRPr="003F54EF">
        <w:rPr>
          <w:color w:val="000000"/>
          <w:sz w:val="20"/>
          <w:lang w:val="en-CA" w:eastAsia="zh-CN"/>
        </w:rPr>
        <w:t xml:space="preserve">Even so, these reports are still tied to regulatory schedules. The public </w:t>
      </w:r>
      <w:r w:rsidR="00882509">
        <w:rPr>
          <w:rFonts w:hint="eastAsia"/>
          <w:color w:val="000000"/>
          <w:sz w:val="20"/>
          <w:lang w:val="en-CA" w:eastAsia="zh-CN"/>
        </w:rPr>
        <w:t>can</w:t>
      </w:r>
      <w:r w:rsidRPr="003F54EF">
        <w:rPr>
          <w:color w:val="000000"/>
          <w:sz w:val="20"/>
          <w:lang w:val="en-CA" w:eastAsia="zh-CN"/>
        </w:rPr>
        <w:t xml:space="preserve"> not see the data until 60 days later. The reports also do not cover the daily disclosures that ETF providers publish, and they do not link holdings to any classification scheme.</w:t>
      </w:r>
    </w:p>
    <w:p w14:paraId="41889EC0" w14:textId="4F744F29" w:rsidR="003F54EF" w:rsidRPr="003F54EF" w:rsidRDefault="003F54EF" w:rsidP="003F54EF">
      <w:pPr>
        <w:spacing w:before="200" w:after="80" w:line="240" w:lineRule="auto"/>
        <w:ind w:left="360"/>
        <w:rPr>
          <w:color w:val="000000"/>
          <w:sz w:val="20"/>
          <w:lang w:val="en-CA" w:eastAsia="zh-CN"/>
        </w:rPr>
      </w:pPr>
    </w:p>
    <w:p w14:paraId="6F8E5165" w14:textId="41D57E83" w:rsidR="004A51A6" w:rsidRPr="00882509" w:rsidRDefault="004A51A6" w:rsidP="004A51A6">
      <w:pPr>
        <w:pStyle w:val="ListParagraph"/>
        <w:numPr>
          <w:ilvl w:val="0"/>
          <w:numId w:val="10"/>
        </w:numPr>
        <w:spacing w:before="200" w:after="80" w:line="240" w:lineRule="auto"/>
        <w:rPr>
          <w:rFonts w:eastAsia="SimHei"/>
          <w:b/>
          <w:color w:val="000000"/>
          <w:sz w:val="24"/>
        </w:rPr>
      </w:pPr>
      <w:r>
        <w:rPr>
          <w:rFonts w:eastAsia="SimHei"/>
          <w:b/>
          <w:color w:val="000000"/>
          <w:sz w:val="24"/>
        </w:rPr>
        <w:t>Semantic Ontologies and Commercial Aggregated Data (2017–Present)</w:t>
      </w:r>
    </w:p>
    <w:p w14:paraId="0F665BC3" w14:textId="062F7B5E" w:rsidR="003F54EF" w:rsidRPr="003F54EF" w:rsidRDefault="00882509" w:rsidP="003F54EF">
      <w:pPr>
        <w:spacing w:before="200" w:after="80" w:line="240" w:lineRule="auto"/>
        <w:ind w:left="360"/>
        <w:rPr>
          <w:color w:val="000000"/>
          <w:sz w:val="20"/>
          <w:lang w:val="en-CA" w:eastAsia="zh-CN"/>
        </w:rPr>
      </w:pPr>
      <w:r>
        <w:rPr>
          <w:rFonts w:hint="eastAsia"/>
          <w:color w:val="000000"/>
          <w:sz w:val="20"/>
          <w:lang w:val="en-CA" w:eastAsia="zh-CN"/>
        </w:rPr>
        <w:lastRenderedPageBreak/>
        <w:t>After 2017, there were t</w:t>
      </w:r>
      <w:r w:rsidR="003F54EF" w:rsidRPr="003F54EF">
        <w:rPr>
          <w:color w:val="000000"/>
          <w:sz w:val="20"/>
          <w:lang w:val="en-CA" w:eastAsia="zh-CN"/>
        </w:rPr>
        <w:t xml:space="preserve">wo new approaches </w:t>
      </w:r>
      <w:r>
        <w:rPr>
          <w:rFonts w:hint="eastAsia"/>
          <w:color w:val="000000"/>
          <w:sz w:val="20"/>
          <w:lang w:val="en-CA" w:eastAsia="zh-CN"/>
        </w:rPr>
        <w:t xml:space="preserve">that </w:t>
      </w:r>
      <w:r w:rsidR="003F54EF" w:rsidRPr="003F54EF">
        <w:rPr>
          <w:color w:val="000000"/>
          <w:sz w:val="20"/>
          <w:lang w:val="en-CA" w:eastAsia="zh-CN"/>
        </w:rPr>
        <w:t>have recently appeared to make financial data more interoperable and easier to use.</w:t>
      </w:r>
    </w:p>
    <w:p w14:paraId="64DAF6D1" w14:textId="77777777" w:rsidR="003F54EF" w:rsidRPr="003F54EF" w:rsidRDefault="003F54EF" w:rsidP="003F54EF">
      <w:pPr>
        <w:spacing w:before="200" w:after="80" w:line="240" w:lineRule="auto"/>
        <w:ind w:left="360"/>
        <w:rPr>
          <w:color w:val="000000"/>
          <w:sz w:val="20"/>
          <w:lang w:val="en-CA" w:eastAsia="zh-CN"/>
        </w:rPr>
      </w:pPr>
      <w:r w:rsidRPr="003F54EF">
        <w:rPr>
          <w:color w:val="000000"/>
          <w:sz w:val="20"/>
          <w:lang w:val="en-CA" w:eastAsia="zh-CN"/>
        </w:rPr>
        <w:t xml:space="preserve">The first is the Financial Industry Business Ontology (FIBO), standardized by the Object Management Group (OMG) [2, 3]. FIBO is a semantic model that defines core concepts — such as Fund, Security, </w:t>
      </w:r>
      <w:proofErr w:type="spellStart"/>
      <w:r w:rsidRPr="003F54EF">
        <w:rPr>
          <w:color w:val="000000"/>
          <w:sz w:val="20"/>
          <w:lang w:val="en-CA" w:eastAsia="zh-CN"/>
        </w:rPr>
        <w:t>IdentificationScheme</w:t>
      </w:r>
      <w:proofErr w:type="spellEnd"/>
      <w:r w:rsidRPr="003F54EF">
        <w:rPr>
          <w:color w:val="000000"/>
          <w:sz w:val="20"/>
          <w:lang w:val="en-CA" w:eastAsia="zh-CN"/>
        </w:rPr>
        <w:t xml:space="preserve">, and </w:t>
      </w:r>
      <w:proofErr w:type="spellStart"/>
      <w:r w:rsidRPr="003F54EF">
        <w:rPr>
          <w:color w:val="000000"/>
          <w:sz w:val="20"/>
          <w:lang w:val="en-CA" w:eastAsia="zh-CN"/>
        </w:rPr>
        <w:t>ClassificationScheme</w:t>
      </w:r>
      <w:proofErr w:type="spellEnd"/>
      <w:r w:rsidRPr="003F54EF">
        <w:rPr>
          <w:color w:val="000000"/>
          <w:sz w:val="20"/>
          <w:lang w:val="en-CA" w:eastAsia="zh-CN"/>
        </w:rPr>
        <w:t xml:space="preserve"> — and explains how they relate to each other, using formal ontology languages. It removes ambiguity about what financial terms mean and helps different systems work together. However, FIBO only defines concepts. It does not contain actual holdings data or disclosure events.</w:t>
      </w:r>
    </w:p>
    <w:p w14:paraId="3F3BABDC" w14:textId="77777777" w:rsidR="003F54EF" w:rsidRPr="003F54EF" w:rsidRDefault="003F54EF" w:rsidP="003F54EF">
      <w:pPr>
        <w:spacing w:before="200" w:after="80" w:line="240" w:lineRule="auto"/>
        <w:ind w:left="360"/>
        <w:rPr>
          <w:color w:val="000000"/>
          <w:sz w:val="20"/>
          <w:lang w:val="en-CA" w:eastAsia="zh-CN"/>
        </w:rPr>
      </w:pPr>
      <w:r w:rsidRPr="003F54EF">
        <w:rPr>
          <w:color w:val="000000"/>
          <w:sz w:val="20"/>
          <w:lang w:val="en-CA" w:eastAsia="zh-CN"/>
        </w:rPr>
        <w:t>The second approach comes from commercial data providers like Morningstar [4, 5]. They collect regulatory filings and daily disclosures, clean them, and store them in normalized databases, together with their own fund classification systems. This makes it easy to compare funds. But it removes the link to the original disclosure source, the publication date, and the classification logic, so individual entries can no longer be audited.</w:t>
      </w:r>
    </w:p>
    <w:p w14:paraId="7F337995" w14:textId="5F9BEFD1" w:rsidR="00882509" w:rsidRPr="00882509" w:rsidRDefault="00882509" w:rsidP="00882509">
      <w:pPr>
        <w:pStyle w:val="ListParagraph"/>
        <w:numPr>
          <w:ilvl w:val="0"/>
          <w:numId w:val="10"/>
        </w:numPr>
        <w:spacing w:before="200" w:after="80" w:line="240" w:lineRule="auto"/>
        <w:rPr>
          <w:rFonts w:eastAsia="SimHei"/>
          <w:b/>
          <w:color w:val="000000"/>
          <w:sz w:val="24"/>
        </w:rPr>
      </w:pPr>
      <w:r w:rsidRPr="00882509">
        <w:rPr>
          <w:rFonts w:eastAsia="SimHei" w:hint="eastAsia"/>
          <w:b/>
          <w:color w:val="000000"/>
          <w:sz w:val="24"/>
        </w:rPr>
        <w:t>Summary</w:t>
      </w:r>
    </w:p>
    <w:p w14:paraId="0CABA005" w14:textId="374C5875" w:rsidR="003F54EF" w:rsidRPr="00882509" w:rsidRDefault="003F54EF" w:rsidP="00882509">
      <w:pPr>
        <w:spacing w:before="200" w:after="80" w:line="240" w:lineRule="auto"/>
        <w:ind w:left="360"/>
        <w:rPr>
          <w:color w:val="000000"/>
          <w:sz w:val="20"/>
          <w:lang w:val="en-CA" w:eastAsia="zh-CN"/>
        </w:rPr>
      </w:pPr>
      <w:r w:rsidRPr="00882509">
        <w:rPr>
          <w:color w:val="000000"/>
          <w:sz w:val="20"/>
          <w:lang w:val="en-CA" w:eastAsia="zh-CN"/>
        </w:rPr>
        <w:t>Overall, the evolution shows a clear trend: disclosure has become more structured, more frequent, and</w:t>
      </w:r>
      <w:r w:rsidR="00882509" w:rsidRPr="00882509">
        <w:rPr>
          <w:rFonts w:hint="eastAsia"/>
          <w:color w:val="000000"/>
          <w:sz w:val="20"/>
          <w:lang w:val="en-CA" w:eastAsia="zh-CN"/>
        </w:rPr>
        <w:t xml:space="preserve"> </w:t>
      </w:r>
      <w:r w:rsidRPr="00882509">
        <w:rPr>
          <w:color w:val="000000"/>
          <w:sz w:val="20"/>
          <w:lang w:val="en-CA" w:eastAsia="zh-CN"/>
        </w:rPr>
        <w:t>more standardized over time.</w:t>
      </w:r>
      <w:r w:rsidR="00882509" w:rsidRPr="00882509">
        <w:rPr>
          <w:rFonts w:hint="eastAsia"/>
          <w:color w:val="000000"/>
          <w:sz w:val="20"/>
          <w:lang w:val="en-CA" w:eastAsia="zh-CN"/>
        </w:rPr>
        <w:t xml:space="preserve"> </w:t>
      </w:r>
      <w:r w:rsidRPr="00882509">
        <w:rPr>
          <w:color w:val="000000"/>
          <w:sz w:val="20"/>
          <w:lang w:val="en-CA" w:eastAsia="zh-CN"/>
        </w:rPr>
        <w:t xml:space="preserve">However, a critical gap remains. There is still no formal data model for dated, provider-published ETF allocation disclosures — one that links each individual holding entry to its source disclosure, publication date, classification scheme, and security identifiers. </w:t>
      </w:r>
    </w:p>
    <w:p w14:paraId="5CA9095E" w14:textId="77777777" w:rsidR="00987A9A" w:rsidRDefault="00987A9A" w:rsidP="00987A9A">
      <w:pPr>
        <w:spacing w:before="200" w:after="80" w:line="240" w:lineRule="auto"/>
        <w:rPr>
          <w:color w:val="000000"/>
          <w:sz w:val="20"/>
          <w:lang w:val="en-CA" w:eastAsia="zh-CN"/>
        </w:rPr>
      </w:pPr>
    </w:p>
    <w:p w14:paraId="5D389444" w14:textId="7C773DEB" w:rsidR="00987A9A" w:rsidRPr="00C3547F" w:rsidRDefault="00987A9A" w:rsidP="00987A9A">
      <w:pPr>
        <w:spacing w:before="200" w:after="80" w:line="240" w:lineRule="auto"/>
        <w:rPr>
          <w:rFonts w:eastAsia="SimHei"/>
          <w:b/>
          <w:color w:val="000000"/>
          <w:sz w:val="24"/>
        </w:rPr>
      </w:pPr>
      <w:r w:rsidRPr="00C3547F">
        <w:rPr>
          <w:rFonts w:eastAsia="SimHei"/>
          <w:b/>
          <w:color w:val="000000"/>
          <w:sz w:val="24"/>
        </w:rPr>
        <w:t>Comparative Analysis</w:t>
      </w:r>
      <w:r w:rsidRPr="00C3547F">
        <w:rPr>
          <w:rFonts w:eastAsia="SimHei" w:hint="eastAsia"/>
          <w:b/>
          <w:color w:val="000000"/>
          <w:sz w:val="24"/>
        </w:rPr>
        <w:t>:</w:t>
      </w:r>
    </w:p>
    <w:p w14:paraId="747A54A6" w14:textId="13FDE3B8" w:rsidR="004A51A6" w:rsidRDefault="00140A6E" w:rsidP="004A51A6">
      <w:pPr>
        <w:spacing w:before="200" w:after="80" w:line="240" w:lineRule="auto"/>
        <w:ind w:left="360"/>
        <w:rPr>
          <w:color w:val="000000"/>
          <w:sz w:val="20"/>
        </w:rPr>
      </w:pPr>
      <w:r>
        <w:rPr>
          <w:color w:val="000000"/>
          <w:sz w:val="20"/>
        </w:rPr>
        <w:t>Existing representations of ETF and fund allocation information can be categorized into six paradigms based on data structure and use case.</w:t>
      </w:r>
    </w:p>
    <w:p w14:paraId="5B4F572E" w14:textId="58ED2A51" w:rsidR="00140A6E" w:rsidRPr="00987A9A" w:rsidRDefault="00140A6E" w:rsidP="00987A9A">
      <w:pPr>
        <w:pStyle w:val="ListParagraph"/>
        <w:numPr>
          <w:ilvl w:val="0"/>
          <w:numId w:val="11"/>
        </w:numPr>
        <w:spacing w:before="200" w:after="80" w:line="240" w:lineRule="auto"/>
        <w:rPr>
          <w:rFonts w:eastAsia="SimHei"/>
          <w:b/>
          <w:color w:val="000000"/>
          <w:sz w:val="24"/>
          <w:lang w:eastAsia="zh-CN"/>
        </w:rPr>
      </w:pPr>
      <w:r w:rsidRPr="00987A9A">
        <w:rPr>
          <w:rFonts w:eastAsia="SimHei"/>
          <w:b/>
          <w:color w:val="000000"/>
          <w:sz w:val="24"/>
        </w:rPr>
        <w:t>Regulatory Narrative Filings (N-SAR / N-Q)</w:t>
      </w:r>
      <w:r w:rsidR="00987A9A" w:rsidRPr="00987A9A">
        <w:rPr>
          <w:rFonts w:eastAsia="SimHei" w:hint="eastAsia"/>
          <w:b/>
          <w:color w:val="000000"/>
          <w:sz w:val="24"/>
          <w:lang w:eastAsia="zh-CN"/>
        </w:rPr>
        <w:t>:</w:t>
      </w:r>
    </w:p>
    <w:p w14:paraId="0DFF8ED6" w14:textId="590F04FB" w:rsidR="00987A9A" w:rsidRPr="00987A9A" w:rsidRDefault="00987A9A" w:rsidP="004A51A6">
      <w:pPr>
        <w:spacing w:before="200" w:after="80" w:line="240" w:lineRule="auto"/>
        <w:ind w:left="360"/>
        <w:rPr>
          <w:color w:val="000000"/>
          <w:sz w:val="20"/>
        </w:rPr>
      </w:pPr>
      <w:r w:rsidRPr="00987A9A">
        <w:rPr>
          <w:color w:val="000000"/>
          <w:sz w:val="20"/>
        </w:rPr>
        <w:t>The purpose of these filings is to fulfill mandatory regulatory disclosure requirements for registered investment companies [7, 8].</w:t>
      </w:r>
    </w:p>
    <w:p w14:paraId="5DB19BBF" w14:textId="5803E61A" w:rsidR="00140A6E" w:rsidRPr="00987A9A" w:rsidRDefault="00140A6E" w:rsidP="00987A9A">
      <w:pPr>
        <w:pStyle w:val="ListParagraph"/>
        <w:numPr>
          <w:ilvl w:val="0"/>
          <w:numId w:val="11"/>
        </w:numPr>
        <w:spacing w:before="200" w:after="80" w:line="240" w:lineRule="auto"/>
        <w:rPr>
          <w:rFonts w:eastAsia="SimHei"/>
          <w:b/>
          <w:color w:val="000000"/>
          <w:sz w:val="24"/>
          <w:lang w:eastAsia="zh-CN"/>
        </w:rPr>
      </w:pPr>
      <w:r w:rsidRPr="00987A9A">
        <w:rPr>
          <w:rFonts w:eastAsia="SimHei"/>
          <w:b/>
          <w:color w:val="000000"/>
          <w:sz w:val="24"/>
        </w:rPr>
        <w:t>Daily ETF Website Disclosures (Rule 6c-11)</w:t>
      </w:r>
      <w:r w:rsidR="00987A9A" w:rsidRPr="00987A9A">
        <w:rPr>
          <w:rFonts w:eastAsia="SimHei" w:hint="eastAsia"/>
          <w:b/>
          <w:color w:val="000000"/>
          <w:sz w:val="24"/>
          <w:lang w:eastAsia="zh-CN"/>
        </w:rPr>
        <w:t>:</w:t>
      </w:r>
    </w:p>
    <w:p w14:paraId="24B8DA46" w14:textId="2A0B15B8" w:rsidR="00987A9A" w:rsidRDefault="00987A9A" w:rsidP="004A51A6">
      <w:pPr>
        <w:spacing w:before="200" w:after="80" w:line="240" w:lineRule="auto"/>
        <w:ind w:left="360"/>
        <w:rPr>
          <w:rFonts w:eastAsia="SimHei"/>
          <w:b/>
          <w:color w:val="000000"/>
          <w:sz w:val="24"/>
          <w:lang w:eastAsia="zh-CN"/>
        </w:rPr>
      </w:pPr>
      <w:r>
        <w:rPr>
          <w:color w:val="000000"/>
          <w:sz w:val="20"/>
        </w:rPr>
        <w:t>The purpose of this paradigm is to support ETF creation/redemption mechanisms and to provide daily pre-market transparency to market participants [12, 1].</w:t>
      </w:r>
    </w:p>
    <w:p w14:paraId="7823320A" w14:textId="3B658E0A" w:rsidR="00140A6E" w:rsidRPr="00987A9A" w:rsidRDefault="00140A6E" w:rsidP="00987A9A">
      <w:pPr>
        <w:pStyle w:val="ListParagraph"/>
        <w:numPr>
          <w:ilvl w:val="0"/>
          <w:numId w:val="11"/>
        </w:numPr>
        <w:spacing w:before="200" w:after="80" w:line="240" w:lineRule="auto"/>
        <w:rPr>
          <w:rFonts w:eastAsia="SimHei"/>
          <w:b/>
          <w:color w:val="000000"/>
          <w:sz w:val="24"/>
          <w:lang w:eastAsia="zh-CN"/>
        </w:rPr>
      </w:pPr>
      <w:bookmarkStart w:id="1" w:name="OLE_LINK2"/>
      <w:r w:rsidRPr="00987A9A">
        <w:rPr>
          <w:rFonts w:eastAsia="SimHei"/>
          <w:b/>
          <w:color w:val="000000"/>
          <w:sz w:val="24"/>
        </w:rPr>
        <w:t>Structured XML Regulatory Reports (N-PORT / N-CEN)</w:t>
      </w:r>
      <w:bookmarkEnd w:id="1"/>
      <w:r w:rsidR="00987A9A" w:rsidRPr="00987A9A">
        <w:rPr>
          <w:rFonts w:eastAsia="SimHei" w:hint="eastAsia"/>
          <w:b/>
          <w:color w:val="000000"/>
          <w:sz w:val="24"/>
          <w:lang w:eastAsia="zh-CN"/>
        </w:rPr>
        <w:t>:</w:t>
      </w:r>
    </w:p>
    <w:p w14:paraId="5AE7AC63" w14:textId="5714201C" w:rsidR="00987A9A" w:rsidRPr="00987A9A" w:rsidRDefault="00987A9A" w:rsidP="004A51A6">
      <w:pPr>
        <w:spacing w:before="200" w:after="80" w:line="240" w:lineRule="auto"/>
        <w:ind w:left="360"/>
        <w:rPr>
          <w:color w:val="000000"/>
          <w:sz w:val="20"/>
        </w:rPr>
      </w:pPr>
      <w:r w:rsidRPr="00987A9A">
        <w:rPr>
          <w:color w:val="000000"/>
          <w:sz w:val="20"/>
        </w:rPr>
        <w:t>The purpose of this paradigm is to standardize regulatory reporting to enable automated processing and regulatory oversight [10, 11].</w:t>
      </w:r>
    </w:p>
    <w:p w14:paraId="30CC628A" w14:textId="533BF3F8" w:rsidR="00140A6E" w:rsidRPr="00987A9A" w:rsidRDefault="00140A6E" w:rsidP="00987A9A">
      <w:pPr>
        <w:pStyle w:val="ListParagraph"/>
        <w:numPr>
          <w:ilvl w:val="0"/>
          <w:numId w:val="11"/>
        </w:numPr>
        <w:spacing w:before="200" w:after="80" w:line="240" w:lineRule="auto"/>
        <w:rPr>
          <w:rFonts w:eastAsia="SimHei"/>
          <w:b/>
          <w:color w:val="000000"/>
          <w:sz w:val="24"/>
          <w:lang w:eastAsia="zh-CN"/>
        </w:rPr>
      </w:pPr>
      <w:r w:rsidRPr="00987A9A">
        <w:rPr>
          <w:rFonts w:eastAsia="SimHei"/>
          <w:b/>
          <w:color w:val="000000"/>
          <w:sz w:val="24"/>
        </w:rPr>
        <w:t>XBRL-Tagged Prospectus Summaries</w:t>
      </w:r>
      <w:r w:rsidR="00987A9A" w:rsidRPr="00987A9A">
        <w:rPr>
          <w:rFonts w:eastAsia="SimHei" w:hint="eastAsia"/>
          <w:b/>
          <w:color w:val="000000"/>
          <w:sz w:val="24"/>
          <w:lang w:eastAsia="zh-CN"/>
        </w:rPr>
        <w:t>:</w:t>
      </w:r>
    </w:p>
    <w:p w14:paraId="7A38FCDA" w14:textId="464072A3" w:rsidR="00987A9A" w:rsidRPr="00987A9A" w:rsidRDefault="00987A9A" w:rsidP="004A51A6">
      <w:pPr>
        <w:spacing w:before="200" w:after="80" w:line="240" w:lineRule="auto"/>
        <w:ind w:left="360"/>
        <w:rPr>
          <w:color w:val="000000"/>
          <w:sz w:val="20"/>
        </w:rPr>
      </w:pPr>
      <w:r w:rsidRPr="00987A9A">
        <w:rPr>
          <w:color w:val="000000"/>
          <w:sz w:val="20"/>
        </w:rPr>
        <w:t>The purpose of this paradigm is to enable automated extraction of summary fund metrics using a standardized semantic taxonomy [9].</w:t>
      </w:r>
    </w:p>
    <w:p w14:paraId="43821C06" w14:textId="4A49468A" w:rsidR="00140A6E" w:rsidRPr="00987A9A" w:rsidRDefault="00140A6E" w:rsidP="00987A9A">
      <w:pPr>
        <w:pStyle w:val="ListParagraph"/>
        <w:numPr>
          <w:ilvl w:val="0"/>
          <w:numId w:val="11"/>
        </w:numPr>
        <w:spacing w:before="200" w:after="80" w:line="240" w:lineRule="auto"/>
        <w:rPr>
          <w:rFonts w:eastAsia="SimHei"/>
          <w:b/>
          <w:color w:val="000000"/>
          <w:sz w:val="24"/>
          <w:lang w:eastAsia="zh-CN"/>
        </w:rPr>
      </w:pPr>
      <w:r w:rsidRPr="00987A9A">
        <w:rPr>
          <w:rFonts w:eastAsia="SimHei"/>
          <w:b/>
          <w:color w:val="000000"/>
          <w:sz w:val="24"/>
        </w:rPr>
        <w:t>FIBO Semantic Ontology</w:t>
      </w:r>
      <w:r w:rsidR="00987A9A" w:rsidRPr="00987A9A">
        <w:rPr>
          <w:rFonts w:eastAsia="SimHei" w:hint="eastAsia"/>
          <w:b/>
          <w:color w:val="000000"/>
          <w:sz w:val="24"/>
          <w:lang w:eastAsia="zh-CN"/>
        </w:rPr>
        <w:t>:</w:t>
      </w:r>
    </w:p>
    <w:p w14:paraId="4FD92AA0" w14:textId="053D21C5" w:rsidR="00987A9A" w:rsidRPr="00987A9A" w:rsidRDefault="00987A9A" w:rsidP="004A51A6">
      <w:pPr>
        <w:spacing w:before="200" w:after="80" w:line="240" w:lineRule="auto"/>
        <w:ind w:left="360"/>
        <w:rPr>
          <w:color w:val="000000"/>
          <w:sz w:val="20"/>
        </w:rPr>
      </w:pPr>
      <w:r>
        <w:rPr>
          <w:color w:val="000000"/>
          <w:sz w:val="20"/>
        </w:rPr>
        <w:t>The purpose of FIBO is to define standardized financial industry concepts and relationships to enable cross-system interoperability [2, 3].</w:t>
      </w:r>
    </w:p>
    <w:p w14:paraId="6FBBF254" w14:textId="733CF3C1" w:rsidR="00140A6E" w:rsidRPr="00987A9A" w:rsidRDefault="00140A6E" w:rsidP="00987A9A">
      <w:pPr>
        <w:pStyle w:val="ListParagraph"/>
        <w:numPr>
          <w:ilvl w:val="0"/>
          <w:numId w:val="11"/>
        </w:numPr>
        <w:spacing w:before="200" w:after="80" w:line="240" w:lineRule="auto"/>
        <w:rPr>
          <w:rFonts w:eastAsia="SimHei"/>
          <w:b/>
          <w:color w:val="000000"/>
          <w:sz w:val="24"/>
          <w:lang w:eastAsia="zh-CN"/>
        </w:rPr>
      </w:pPr>
      <w:r w:rsidRPr="00987A9A">
        <w:rPr>
          <w:rFonts w:eastAsia="SimHei"/>
          <w:b/>
          <w:color w:val="000000"/>
          <w:sz w:val="24"/>
        </w:rPr>
        <w:t>Commercial Aggregated Databases</w:t>
      </w:r>
      <w:r w:rsidR="00987A9A" w:rsidRPr="00987A9A">
        <w:rPr>
          <w:rFonts w:eastAsia="SimHei" w:hint="eastAsia"/>
          <w:b/>
          <w:color w:val="000000"/>
          <w:sz w:val="24"/>
          <w:lang w:eastAsia="zh-CN"/>
        </w:rPr>
        <w:t>:</w:t>
      </w:r>
    </w:p>
    <w:p w14:paraId="4A73F5E2" w14:textId="495BC3C2" w:rsidR="00987A9A" w:rsidRPr="00987A9A" w:rsidRDefault="00987A9A" w:rsidP="004A51A6">
      <w:pPr>
        <w:spacing w:before="200" w:after="80" w:line="240" w:lineRule="auto"/>
        <w:ind w:left="360"/>
        <w:rPr>
          <w:color w:val="000000"/>
          <w:sz w:val="20"/>
        </w:rPr>
      </w:pPr>
      <w:r>
        <w:rPr>
          <w:color w:val="000000"/>
          <w:sz w:val="20"/>
        </w:rPr>
        <w:t>The purpose of this paradigm is to deliver normalized, cross-provider holdings data for research, analysis, and benchmarking [4, 5].</w:t>
      </w:r>
    </w:p>
    <w:p w14:paraId="04EDBA4D" w14:textId="77777777" w:rsidR="00987A9A" w:rsidRPr="00987A9A" w:rsidRDefault="00987A9A" w:rsidP="00987A9A">
      <w:pPr>
        <w:spacing w:before="200" w:after="80" w:line="240" w:lineRule="auto"/>
        <w:rPr>
          <w:color w:val="000000"/>
          <w:sz w:val="20"/>
          <w:lang w:eastAsia="zh-CN"/>
        </w:rPr>
      </w:pPr>
    </w:p>
    <w:p w14:paraId="3520E75C" w14:textId="77777777" w:rsidR="00987A9A" w:rsidRDefault="00987A9A">
      <w:pPr>
        <w:spacing w:after="200" w:line="276" w:lineRule="auto"/>
        <w:jc w:val="left"/>
        <w:rPr>
          <w:b/>
          <w:color w:val="000000"/>
          <w:sz w:val="21"/>
        </w:rPr>
      </w:pPr>
      <w:r>
        <w:rPr>
          <w:b/>
          <w:color w:val="000000"/>
          <w:sz w:val="21"/>
        </w:rPr>
        <w:br w:type="page"/>
      </w:r>
    </w:p>
    <w:p w14:paraId="4A51FF78" w14:textId="2F10DDFC" w:rsidR="00E663E4" w:rsidRDefault="00000000" w:rsidP="00E663E4">
      <w:pPr>
        <w:spacing w:before="200" w:after="80" w:line="240" w:lineRule="auto"/>
        <w:jc w:val="center"/>
        <w:rPr>
          <w:b/>
          <w:color w:val="000000"/>
          <w:sz w:val="21"/>
        </w:rPr>
      </w:pPr>
      <w:r>
        <w:rPr>
          <w:b/>
          <w:color w:val="000000"/>
          <w:sz w:val="21"/>
        </w:rPr>
        <w:lastRenderedPageBreak/>
        <w:t>Table 1 — Comparison of fund allocation representation paradigms</w:t>
      </w:r>
    </w:p>
    <w:tbl>
      <w:tblPr>
        <w:tblW w:w="9056" w:type="dxa"/>
        <w:tblCellMar>
          <w:top w:w="15" w:type="dxa"/>
          <w:left w:w="15" w:type="dxa"/>
          <w:bottom w:w="15" w:type="dxa"/>
          <w:right w:w="15" w:type="dxa"/>
        </w:tblCellMar>
        <w:tblLook w:val="04A0" w:firstRow="1" w:lastRow="0" w:firstColumn="1" w:lastColumn="0" w:noHBand="0" w:noVBand="1"/>
      </w:tblPr>
      <w:tblGrid>
        <w:gridCol w:w="1183"/>
        <w:gridCol w:w="1198"/>
        <w:gridCol w:w="1630"/>
        <w:gridCol w:w="1183"/>
        <w:gridCol w:w="1181"/>
        <w:gridCol w:w="1095"/>
        <w:gridCol w:w="1586"/>
      </w:tblGrid>
      <w:tr w:rsidR="00E56CAF" w:rsidRPr="00E56CAF" w14:paraId="5493EDCF" w14:textId="77777777" w:rsidTr="00140A6E">
        <w:trPr>
          <w:trHeight w:val="585"/>
        </w:trPr>
        <w:tc>
          <w:tcPr>
            <w:tcW w:w="134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6B3EEA" w14:textId="5E1036F7" w:rsidR="00E56CAF" w:rsidRPr="00E56CAF" w:rsidRDefault="00E56CAF" w:rsidP="00E56CAF">
            <w:pPr>
              <w:spacing w:before="200" w:after="80" w:line="240" w:lineRule="auto"/>
              <w:jc w:val="center"/>
              <w:rPr>
                <w:b/>
                <w:color w:val="000000"/>
                <w:sz w:val="21"/>
                <w:lang w:val="en-CA"/>
              </w:rPr>
            </w:pPr>
          </w:p>
        </w:tc>
        <w:tc>
          <w:tcPr>
            <w:tcW w:w="101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5978CB"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Main Purpose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7BB8CC"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Key Entities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6D34A9"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Key Relationships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8A2D55"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Captures Well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F9EBF8"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Omits / Limitations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DE7DFB"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Implications for ER Design</w:t>
            </w:r>
          </w:p>
        </w:tc>
      </w:tr>
      <w:tr w:rsidR="00E56CAF" w:rsidRPr="00E56CAF" w14:paraId="02EAE301" w14:textId="77777777" w:rsidTr="00140A6E">
        <w:trPr>
          <w:trHeight w:val="585"/>
        </w:trPr>
        <w:tc>
          <w:tcPr>
            <w:tcW w:w="134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17000E"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Regulatory Narrative Filings (N-SAR / N-Q)</w:t>
            </w:r>
          </w:p>
        </w:tc>
        <w:tc>
          <w:tcPr>
            <w:tcW w:w="101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F69FB77"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Mandatory regulatory disclosure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E0F107"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Fund; Security; Reporting Period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8B697F"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Fund holds securities as of report date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5AD959"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Audited, comprehensive snapshots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650E541"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Unstructured; manual extraction; 60+ day lag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877B1BF"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Establishes core entities (Fund, Security, Holding); motivates structured format</w:t>
            </w:r>
          </w:p>
        </w:tc>
      </w:tr>
      <w:tr w:rsidR="00E56CAF" w:rsidRPr="00E56CAF" w14:paraId="5D8E346B" w14:textId="77777777" w:rsidTr="00140A6E">
        <w:trPr>
          <w:trHeight w:val="585"/>
        </w:trPr>
        <w:tc>
          <w:tcPr>
            <w:tcW w:w="134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133F16"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Daily ETF Website Disclosures (Rule 6c-11)</w:t>
            </w:r>
          </w:p>
        </w:tc>
        <w:tc>
          <w:tcPr>
            <w:tcW w:w="101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67D86E"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ETF market operations; daily transparency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E6CF96"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ETF; Security; Trading Date; Weight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B6A407"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ETF publishes daily portfolio basket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BF8805"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High frequency; issuer-published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D1FBBD"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No uniform schema; no classification links; no source tracking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B345EC"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Introduces Disclosure entity with date and source URL</w:t>
            </w:r>
          </w:p>
        </w:tc>
      </w:tr>
      <w:tr w:rsidR="00E56CAF" w:rsidRPr="00E56CAF" w14:paraId="236DA469" w14:textId="77777777" w:rsidTr="00140A6E">
        <w:trPr>
          <w:trHeight w:val="585"/>
        </w:trPr>
        <w:tc>
          <w:tcPr>
            <w:tcW w:w="134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7DC3DD"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Structured XML Reports (N-PORT / N-CEN)</w:t>
            </w:r>
          </w:p>
        </w:tc>
        <w:tc>
          <w:tcPr>
            <w:tcW w:w="101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CFCAB3"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Standardized regulatory reporting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A037EE"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Fund; Position; Security ID; Period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8E6586"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Fund files quarterly monthly position data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D9AB23"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Machine-readable; uniform schema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870F17"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60-day lag; regulatory cycles only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5ADA17"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Adopts standardized holding attributes; extends to daily disclosures</w:t>
            </w:r>
          </w:p>
        </w:tc>
      </w:tr>
      <w:tr w:rsidR="00E56CAF" w:rsidRPr="00E56CAF" w14:paraId="12216EF8" w14:textId="77777777" w:rsidTr="00140A6E">
        <w:trPr>
          <w:trHeight w:val="585"/>
        </w:trPr>
        <w:tc>
          <w:tcPr>
            <w:tcW w:w="134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4913E1" w14:textId="0DFC2B1A"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XBRL Prospec</w:t>
            </w:r>
            <w:r w:rsidR="00140A6E">
              <w:rPr>
                <w:rFonts w:hint="eastAsia"/>
                <w:b/>
                <w:bCs/>
                <w:color w:val="000000"/>
                <w:sz w:val="21"/>
                <w:lang w:val="en-CA" w:eastAsia="zh-CN"/>
              </w:rPr>
              <w:t>t</w:t>
            </w:r>
            <w:r w:rsidRPr="00E56CAF">
              <w:rPr>
                <w:b/>
                <w:bCs/>
                <w:color w:val="000000"/>
                <w:sz w:val="21"/>
                <w:lang w:val="en-CA"/>
              </w:rPr>
              <w:t>us Summaries</w:t>
            </w:r>
          </w:p>
        </w:tc>
        <w:tc>
          <w:tcPr>
            <w:tcW w:w="101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8C805F"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Automated summary extraction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2589FC"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Fund; Risk/Return Metric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2B81B4"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Fund has tagged summary metrics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61BCBA7"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Standardized semantics; automated comparison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60A9C6"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No position-level data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5DDE2F"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Validates standard identifiers; design at position granularity</w:t>
            </w:r>
          </w:p>
        </w:tc>
      </w:tr>
      <w:tr w:rsidR="00E56CAF" w:rsidRPr="00E56CAF" w14:paraId="4457BF00" w14:textId="77777777" w:rsidTr="00140A6E">
        <w:trPr>
          <w:trHeight w:val="585"/>
        </w:trPr>
        <w:tc>
          <w:tcPr>
            <w:tcW w:w="134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AAD4EC"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FIBO Semantic Ontology</w:t>
            </w:r>
          </w:p>
        </w:tc>
        <w:tc>
          <w:tcPr>
            <w:tcW w:w="101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B71762"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Industry semantic interoperability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08E68B"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 xml:space="preserve">Fund; Security; </w:t>
            </w:r>
            <w:proofErr w:type="spellStart"/>
            <w:r w:rsidRPr="00140A6E">
              <w:rPr>
                <w:color w:val="000000"/>
                <w:sz w:val="20"/>
                <w:lang w:val="en-CA" w:eastAsia="zh-CN"/>
              </w:rPr>
              <w:t>ClassificationScheme</w:t>
            </w:r>
            <w:proofErr w:type="spellEnd"/>
            <w:r w:rsidRPr="00140A6E">
              <w:rPr>
                <w:color w:val="000000"/>
                <w:sz w:val="20"/>
                <w:lang w:val="en-CA" w:eastAsia="zh-CN"/>
              </w:rPr>
              <w:t>; ID Scheme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81111B"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Fund classified by scheme; security has 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79EB8A"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Formal semantics; extensible; interoperable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4DBF7D"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Conceptual only; no holdings; no disclosure events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B7D449"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 xml:space="preserve">Adopts core entity semantics; adds Disclosure, </w:t>
            </w:r>
            <w:proofErr w:type="spellStart"/>
            <w:r w:rsidRPr="00140A6E">
              <w:rPr>
                <w:color w:val="000000"/>
                <w:sz w:val="20"/>
                <w:lang w:val="en-CA" w:eastAsia="zh-CN"/>
              </w:rPr>
              <w:t>HoldingEntry</w:t>
            </w:r>
            <w:proofErr w:type="spellEnd"/>
            <w:r w:rsidRPr="00140A6E">
              <w:rPr>
                <w:color w:val="000000"/>
                <w:sz w:val="20"/>
                <w:lang w:val="en-CA" w:eastAsia="zh-CN"/>
              </w:rPr>
              <w:t>, Source</w:t>
            </w:r>
          </w:p>
        </w:tc>
      </w:tr>
      <w:tr w:rsidR="00E56CAF" w:rsidRPr="00E56CAF" w14:paraId="2ABAD90B" w14:textId="77777777" w:rsidTr="00140A6E">
        <w:trPr>
          <w:trHeight w:val="585"/>
        </w:trPr>
        <w:tc>
          <w:tcPr>
            <w:tcW w:w="134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4739FD" w14:textId="77777777" w:rsidR="00E56CAF" w:rsidRPr="00E56CAF" w:rsidRDefault="00E56CAF" w:rsidP="00E56CAF">
            <w:pPr>
              <w:spacing w:before="200" w:after="80" w:line="240" w:lineRule="auto"/>
              <w:jc w:val="center"/>
              <w:rPr>
                <w:b/>
                <w:color w:val="000000"/>
                <w:sz w:val="21"/>
                <w:lang w:val="en-CA"/>
              </w:rPr>
            </w:pPr>
            <w:r w:rsidRPr="00E56CAF">
              <w:rPr>
                <w:b/>
                <w:bCs/>
                <w:color w:val="000000"/>
                <w:sz w:val="21"/>
                <w:lang w:val="en-CA"/>
              </w:rPr>
              <w:t xml:space="preserve">Commercial Aggregated Databases (e.g., </w:t>
            </w:r>
            <w:r w:rsidRPr="00E56CAF">
              <w:rPr>
                <w:b/>
                <w:bCs/>
                <w:color w:val="000000"/>
                <w:sz w:val="21"/>
                <w:lang w:val="en-CA"/>
              </w:rPr>
              <w:lastRenderedPageBreak/>
              <w:t>Morningstar)</w:t>
            </w:r>
          </w:p>
        </w:tc>
        <w:tc>
          <w:tcPr>
            <w:tcW w:w="101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889AB1"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lastRenderedPageBreak/>
              <w:t>Cross-fund research and analysis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A354D6"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Fund; Holding; Category; Benchmark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FA7C19"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Fund in category; holds securities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778334"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Normalized data; broad coverage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F13D9A"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Proprietary logic; no source auditability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D52360" w14:textId="77777777" w:rsidR="00E56CAF" w:rsidRPr="00140A6E" w:rsidRDefault="00E56CAF" w:rsidP="00E56CAF">
            <w:pPr>
              <w:spacing w:before="200" w:after="80" w:line="240" w:lineRule="auto"/>
              <w:jc w:val="center"/>
              <w:rPr>
                <w:color w:val="000000"/>
                <w:sz w:val="20"/>
                <w:lang w:val="en-CA" w:eastAsia="zh-CN"/>
              </w:rPr>
            </w:pPr>
            <w:r w:rsidRPr="00140A6E">
              <w:rPr>
                <w:color w:val="000000"/>
                <w:sz w:val="20"/>
                <w:lang w:val="en-CA" w:eastAsia="zh-CN"/>
              </w:rPr>
              <w:t xml:space="preserve">Models </w:t>
            </w:r>
            <w:proofErr w:type="spellStart"/>
            <w:r w:rsidRPr="00140A6E">
              <w:rPr>
                <w:color w:val="000000"/>
                <w:sz w:val="20"/>
                <w:lang w:val="en-CA" w:eastAsia="zh-CN"/>
              </w:rPr>
              <w:t>ClassificationScheme</w:t>
            </w:r>
            <w:proofErr w:type="spellEnd"/>
            <w:r w:rsidRPr="00140A6E">
              <w:rPr>
                <w:color w:val="000000"/>
                <w:sz w:val="20"/>
                <w:lang w:val="en-CA" w:eastAsia="zh-CN"/>
              </w:rPr>
              <w:t xml:space="preserve"> as separate entity; </w:t>
            </w:r>
            <w:r w:rsidRPr="00140A6E">
              <w:rPr>
                <w:color w:val="000000"/>
                <w:sz w:val="20"/>
                <w:lang w:val="en-CA" w:eastAsia="zh-CN"/>
              </w:rPr>
              <w:lastRenderedPageBreak/>
              <w:t>preserves source links</w:t>
            </w:r>
          </w:p>
        </w:tc>
      </w:tr>
    </w:tbl>
    <w:p w14:paraId="2BCFC04D" w14:textId="77777777" w:rsidR="00E663E4" w:rsidRPr="00E56CAF" w:rsidRDefault="00E663E4" w:rsidP="00E663E4">
      <w:pPr>
        <w:spacing w:before="200" w:after="80" w:line="240" w:lineRule="auto"/>
        <w:jc w:val="center"/>
        <w:rPr>
          <w:b/>
          <w:color w:val="000000"/>
          <w:sz w:val="21"/>
          <w:lang w:val="en-CA"/>
        </w:rPr>
      </w:pPr>
    </w:p>
    <w:p w14:paraId="7C8506BB" w14:textId="1C4CD347" w:rsidR="00380CCD" w:rsidRPr="00E663E4" w:rsidRDefault="00000000" w:rsidP="00E663E4">
      <w:pPr>
        <w:spacing w:before="200" w:after="80" w:line="240" w:lineRule="auto"/>
        <w:jc w:val="center"/>
        <w:rPr>
          <w:b/>
          <w:color w:val="000000"/>
          <w:sz w:val="21"/>
        </w:rPr>
      </w:pPr>
      <w:r>
        <w:rPr>
          <w:rFonts w:eastAsia="SimHei"/>
          <w:b/>
          <w:color w:val="000000"/>
          <w:sz w:val="24"/>
        </w:rPr>
        <w:t>Summary: Three Core Gaps Identified by the Comparative Analysis</w:t>
      </w:r>
    </w:p>
    <w:tbl>
      <w:tblPr>
        <w:tblStyle w:val="TableGrid"/>
        <w:tblW w:w="0" w:type="auto"/>
        <w:jc w:val="center"/>
        <w:tblLayout w:type="fixed"/>
        <w:tblLook w:val="04A0" w:firstRow="1" w:lastRow="0" w:firstColumn="1" w:lastColumn="0" w:noHBand="0" w:noVBand="1"/>
      </w:tblPr>
      <w:tblGrid>
        <w:gridCol w:w="5046"/>
      </w:tblGrid>
      <w:tr w:rsidR="00380CCD" w14:paraId="7490D195" w14:textId="77777777" w:rsidTr="00E663E4">
        <w:trPr>
          <w:cantSplit/>
          <w:jc w:val="center"/>
        </w:trPr>
        <w:tc>
          <w:tcPr>
            <w:tcW w:w="5046" w:type="dxa"/>
          </w:tcPr>
          <w:p w14:paraId="3FE2A2EA" w14:textId="77777777" w:rsidR="00380CCD" w:rsidRDefault="00000000">
            <w:pPr>
              <w:spacing w:before="20" w:after="20" w:line="276" w:lineRule="auto"/>
              <w:jc w:val="left"/>
            </w:pPr>
            <w:r>
              <w:rPr>
                <w:color w:val="000000"/>
                <w:sz w:val="20"/>
              </w:rPr>
              <w:t>The comparative analysis identifies three core gaps addressed by our proposed ER model:</w:t>
            </w:r>
          </w:p>
        </w:tc>
      </w:tr>
      <w:tr w:rsidR="00380CCD" w14:paraId="127CA1AB" w14:textId="77777777" w:rsidTr="00E663E4">
        <w:trPr>
          <w:cantSplit/>
          <w:jc w:val="center"/>
        </w:trPr>
        <w:tc>
          <w:tcPr>
            <w:tcW w:w="5046" w:type="dxa"/>
          </w:tcPr>
          <w:p w14:paraId="72C53484" w14:textId="77777777" w:rsidR="00380CCD" w:rsidRDefault="00000000">
            <w:pPr>
              <w:spacing w:before="20" w:after="20" w:line="276" w:lineRule="auto"/>
              <w:jc w:val="left"/>
            </w:pPr>
            <w:r>
              <w:rPr>
                <w:color w:val="000000"/>
                <w:sz w:val="20"/>
              </w:rPr>
              <w:t>(1) the lack of an explicit, source-attributed Disclosure entity with publication timestamps;</w:t>
            </w:r>
          </w:p>
        </w:tc>
      </w:tr>
      <w:tr w:rsidR="00380CCD" w14:paraId="502A3775" w14:textId="77777777" w:rsidTr="00E663E4">
        <w:trPr>
          <w:cantSplit/>
          <w:jc w:val="center"/>
        </w:trPr>
        <w:tc>
          <w:tcPr>
            <w:tcW w:w="5046" w:type="dxa"/>
          </w:tcPr>
          <w:p w14:paraId="5252DE62" w14:textId="77777777" w:rsidR="00380CCD" w:rsidRDefault="00000000">
            <w:pPr>
              <w:spacing w:before="20" w:after="20" w:line="276" w:lineRule="auto"/>
              <w:jc w:val="left"/>
            </w:pPr>
            <w:r>
              <w:rPr>
                <w:color w:val="000000"/>
                <w:sz w:val="20"/>
              </w:rPr>
              <w:t>(2) the absence of a formal link between holding entries and their underlying ClassificationScheme; and</w:t>
            </w:r>
          </w:p>
        </w:tc>
      </w:tr>
      <w:tr w:rsidR="00380CCD" w14:paraId="1DB77BE6" w14:textId="77777777" w:rsidTr="00E663E4">
        <w:trPr>
          <w:cantSplit/>
          <w:jc w:val="center"/>
        </w:trPr>
        <w:tc>
          <w:tcPr>
            <w:tcW w:w="5046" w:type="dxa"/>
          </w:tcPr>
          <w:p w14:paraId="7E9E65E2" w14:textId="77777777" w:rsidR="00380CCD" w:rsidRDefault="00000000">
            <w:pPr>
              <w:spacing w:before="20" w:after="20" w:line="276" w:lineRule="auto"/>
              <w:jc w:val="left"/>
            </w:pPr>
            <w:r>
              <w:rPr>
                <w:color w:val="000000"/>
                <w:sz w:val="20"/>
              </w:rPr>
              <w:t>(3) the lack of entry-level provenance tracking back to the original provider-published disclosure.</w:t>
            </w:r>
          </w:p>
        </w:tc>
      </w:tr>
    </w:tbl>
    <w:p w14:paraId="089B9109" w14:textId="77777777" w:rsidR="00C3547F" w:rsidRDefault="00C3547F">
      <w:pPr>
        <w:pStyle w:val="Heading1"/>
        <w:spacing w:before="240" w:after="120"/>
        <w:rPr>
          <w:rFonts w:ascii="Times New Roman" w:eastAsia="SimHei" w:hAnsi="Times New Roman"/>
        </w:rPr>
      </w:pPr>
    </w:p>
    <w:p w14:paraId="35C26E74" w14:textId="52B025B5" w:rsidR="00380CCD" w:rsidRPr="00C3547F" w:rsidRDefault="00C3547F" w:rsidP="00C3547F">
      <w:pPr>
        <w:spacing w:after="200" w:line="276" w:lineRule="auto"/>
        <w:jc w:val="left"/>
        <w:rPr>
          <w:rFonts w:eastAsia="SimHei" w:cstheme="majorBidi"/>
          <w:b/>
          <w:bCs/>
          <w:color w:val="000000"/>
          <w:sz w:val="28"/>
          <w:szCs w:val="28"/>
        </w:rPr>
      </w:pPr>
      <w:r>
        <w:rPr>
          <w:rFonts w:eastAsia="SimHei"/>
        </w:rPr>
        <w:br w:type="page"/>
      </w:r>
      <w:r w:rsidRPr="00C3547F">
        <w:rPr>
          <w:rFonts w:eastAsia="SimHei"/>
          <w:b/>
          <w:bCs/>
        </w:rPr>
        <w:lastRenderedPageBreak/>
        <w:t>References</w:t>
      </w:r>
    </w:p>
    <w:p w14:paraId="7F142324" w14:textId="44254860" w:rsidR="00380CCD" w:rsidRDefault="00000000">
      <w:pPr>
        <w:spacing w:after="40" w:line="312" w:lineRule="auto"/>
        <w:ind w:left="340" w:hanging="340"/>
        <w:jc w:val="left"/>
      </w:pPr>
      <w:r>
        <w:rPr>
          <w:color w:val="000000"/>
          <w:sz w:val="20"/>
        </w:rPr>
        <w:t xml:space="preserve">[1] State Street Global Advisors. SPDR S&amp;P 500 ETF Trust (SPY). Available at </w:t>
      </w:r>
      <w:hyperlink r:id="rId8" w:history="1">
        <w:r w:rsidRPr="00EC4384">
          <w:rPr>
            <w:rStyle w:val="Hyperlink"/>
            <w:sz w:val="20"/>
          </w:rPr>
          <w:t>https://www.ssga.com/us/en/individual/c</w:t>
        </w:r>
        <w:r w:rsidRPr="00EC4384">
          <w:rPr>
            <w:rStyle w:val="Hyperlink"/>
            <w:sz w:val="20"/>
          </w:rPr>
          <w:t>a</w:t>
        </w:r>
        <w:r w:rsidRPr="00EC4384">
          <w:rPr>
            <w:rStyle w:val="Hyperlink"/>
            <w:sz w:val="20"/>
          </w:rPr>
          <w:t>pabilities/spdr-core-equity-etfs/spy-sp-500</w:t>
        </w:r>
      </w:hyperlink>
    </w:p>
    <w:p w14:paraId="42951576" w14:textId="1ED92784" w:rsidR="00380CCD" w:rsidRDefault="00000000">
      <w:pPr>
        <w:spacing w:after="40" w:line="312" w:lineRule="auto"/>
        <w:ind w:left="340" w:hanging="340"/>
        <w:jc w:val="left"/>
      </w:pPr>
      <w:r>
        <w:rPr>
          <w:color w:val="000000"/>
          <w:sz w:val="20"/>
        </w:rPr>
        <w:t xml:space="preserve">[2] EDM Council. FIBO — Financial Industry Business Ontology. Available at </w:t>
      </w:r>
      <w:hyperlink r:id="rId9" w:history="1">
        <w:r w:rsidRPr="00EC4384">
          <w:rPr>
            <w:rStyle w:val="Hyperlink"/>
            <w:sz w:val="20"/>
          </w:rPr>
          <w:t>https://edmcouncil.org/frameworks/industry-models/fibo/</w:t>
        </w:r>
      </w:hyperlink>
    </w:p>
    <w:p w14:paraId="6C653398" w14:textId="1E5CB4B0" w:rsidR="00380CCD" w:rsidRDefault="00000000">
      <w:pPr>
        <w:spacing w:after="40" w:line="312" w:lineRule="auto"/>
        <w:ind w:left="340" w:hanging="340"/>
        <w:jc w:val="left"/>
      </w:pPr>
      <w:r>
        <w:rPr>
          <w:color w:val="000000"/>
          <w:sz w:val="20"/>
        </w:rPr>
        <w:t xml:space="preserve">[3] Object Management Group. 2017. Financial Industry Business Ontology (FIBO): Fund Business Concepts (FBC) Specification. Available at </w:t>
      </w:r>
      <w:hyperlink r:id="rId10" w:history="1">
        <w:r w:rsidRPr="00EC4384">
          <w:rPr>
            <w:rStyle w:val="Hyperlink"/>
            <w:sz w:val="20"/>
          </w:rPr>
          <w:t>https://www.omg.org/spec/EDMC-FIBO/FBC/</w:t>
        </w:r>
      </w:hyperlink>
    </w:p>
    <w:p w14:paraId="0179455C" w14:textId="746EE254" w:rsidR="00380CCD" w:rsidRDefault="00000000">
      <w:pPr>
        <w:spacing w:after="40" w:line="312" w:lineRule="auto"/>
        <w:ind w:left="340" w:hanging="340"/>
        <w:jc w:val="left"/>
      </w:pPr>
      <w:r>
        <w:rPr>
          <w:color w:val="000000"/>
          <w:sz w:val="20"/>
        </w:rPr>
        <w:t xml:space="preserve">[4] Morningstar, Inc. Morningstar Category Classification Methodology. Available at </w:t>
      </w:r>
      <w:hyperlink r:id="rId11" w:history="1">
        <w:r w:rsidRPr="00EC4384">
          <w:rPr>
            <w:rStyle w:val="Hyperlink"/>
            <w:sz w:val="20"/>
          </w:rPr>
          <w:t>https://morningstardirect.morningstar.com/clientco</w:t>
        </w:r>
        <w:r w:rsidRPr="00EC4384">
          <w:rPr>
            <w:rStyle w:val="Hyperlink"/>
            <w:sz w:val="20"/>
          </w:rPr>
          <w:t>m</w:t>
        </w:r>
        <w:r w:rsidRPr="00EC4384">
          <w:rPr>
            <w:rStyle w:val="Hyperlink"/>
            <w:sz w:val="20"/>
          </w:rPr>
          <w:t>m/Morningstar_Category_Classification.pdf</w:t>
        </w:r>
      </w:hyperlink>
    </w:p>
    <w:p w14:paraId="246686B5" w14:textId="0D1B1B2F" w:rsidR="00380CCD" w:rsidRDefault="00000000">
      <w:pPr>
        <w:spacing w:after="40" w:line="312" w:lineRule="auto"/>
        <w:ind w:left="340" w:hanging="340"/>
        <w:jc w:val="left"/>
      </w:pPr>
      <w:r>
        <w:rPr>
          <w:color w:val="000000"/>
          <w:sz w:val="20"/>
        </w:rPr>
        <w:t xml:space="preserve">[5] Morningstar, Inc. Morningstar Data: Fund Holdings. Available at </w:t>
      </w:r>
      <w:hyperlink r:id="rId12" w:history="1">
        <w:r w:rsidRPr="00EC4384">
          <w:rPr>
            <w:rStyle w:val="Hyperlink"/>
            <w:sz w:val="20"/>
          </w:rPr>
          <w:t>https://docs-analyticslab.morningstar.com/1.7.1/morningstar_data/holdings.html</w:t>
        </w:r>
      </w:hyperlink>
    </w:p>
    <w:p w14:paraId="0C4A8EA5" w14:textId="5860A6A3" w:rsidR="00380CCD" w:rsidRDefault="00000000">
      <w:pPr>
        <w:spacing w:after="40" w:line="312" w:lineRule="auto"/>
        <w:ind w:left="340" w:hanging="340"/>
        <w:jc w:val="left"/>
      </w:pPr>
      <w:r>
        <w:rPr>
          <w:color w:val="000000"/>
          <w:sz w:val="20"/>
        </w:rPr>
        <w:t xml:space="preserve">[6] U.S. Securities and Exchange Commission. Electronic Data Gathering, Analysis, and Retrieval (EDGAR) System — Regulatory Overview. Available at </w:t>
      </w:r>
      <w:hyperlink r:id="rId13" w:history="1">
        <w:r w:rsidRPr="00EC4384">
          <w:rPr>
            <w:rStyle w:val="Hyperlink"/>
            <w:sz w:val="20"/>
          </w:rPr>
          <w:t>https://www.sec.gov/info/edgar/regoverview.htm</w:t>
        </w:r>
      </w:hyperlink>
    </w:p>
    <w:p w14:paraId="234F1A76" w14:textId="157C8891" w:rsidR="00380CCD" w:rsidRDefault="00000000">
      <w:pPr>
        <w:spacing w:after="40" w:line="312" w:lineRule="auto"/>
        <w:ind w:left="340" w:hanging="340"/>
        <w:jc w:val="left"/>
      </w:pPr>
      <w:r>
        <w:rPr>
          <w:color w:val="000000"/>
          <w:sz w:val="20"/>
        </w:rPr>
        <w:t xml:space="preserve">[7] U.S. Securities and Exchange Commission. 1940. Investment Company Act of 1940. Available at </w:t>
      </w:r>
      <w:hyperlink r:id="rId14" w:history="1">
        <w:r w:rsidRPr="00EC4384">
          <w:rPr>
            <w:rStyle w:val="Hyperlink"/>
            <w:sz w:val="20"/>
          </w:rPr>
          <w:t>https://www.sec.gov/about/about-securities-laws</w:t>
        </w:r>
      </w:hyperlink>
    </w:p>
    <w:p w14:paraId="2CB6D9C7" w14:textId="10230E83" w:rsidR="00380CCD" w:rsidRDefault="00000000">
      <w:pPr>
        <w:spacing w:after="40" w:line="312" w:lineRule="auto"/>
        <w:ind w:left="340" w:hanging="340"/>
        <w:jc w:val="left"/>
      </w:pPr>
      <w:r>
        <w:rPr>
          <w:color w:val="000000"/>
          <w:sz w:val="20"/>
        </w:rPr>
        <w:t xml:space="preserve">[8] U.S. Securities and Exchange Commission. 2004. Shareholder Reports and Quarterly Portfolio Disclosure of Registered Management Investment Companies (Final Rule; Form N-Q). Available at </w:t>
      </w:r>
      <w:hyperlink r:id="rId15" w:history="1">
        <w:r w:rsidRPr="00EC4384">
          <w:rPr>
            <w:rStyle w:val="Hyperlink"/>
            <w:sz w:val="20"/>
          </w:rPr>
          <w:t>https://www.sec.gov/rules/2004/02/shareholder-reports-and-quarterly-portfolio-disclosure-registered-management</w:t>
        </w:r>
      </w:hyperlink>
    </w:p>
    <w:p w14:paraId="7DCD6C43" w14:textId="5D96B7D9" w:rsidR="00380CCD" w:rsidRDefault="00000000">
      <w:pPr>
        <w:spacing w:after="40" w:line="312" w:lineRule="auto"/>
        <w:ind w:left="340" w:hanging="340"/>
        <w:jc w:val="left"/>
      </w:pPr>
      <w:r>
        <w:rPr>
          <w:color w:val="000000"/>
          <w:sz w:val="20"/>
        </w:rPr>
        <w:t xml:space="preserve">[9] U.S. Securities and Exchange Commission. 2009. Interactive Data for Mutual Fund Risk/Return Summary (Final Rule; XBRL tagging). Available at </w:t>
      </w:r>
      <w:hyperlink r:id="rId16" w:history="1">
        <w:r w:rsidRPr="00EC4384">
          <w:rPr>
            <w:rStyle w:val="Hyperlink"/>
            <w:sz w:val="20"/>
          </w:rPr>
          <w:t>https://www.federalregister.gov/documents/2009/02/19/E9-3359/interactive-data-for-mutual-fund-riskreturn-summary</w:t>
        </w:r>
      </w:hyperlink>
    </w:p>
    <w:p w14:paraId="4CBF3B0A" w14:textId="4B72B432" w:rsidR="00380CCD" w:rsidRDefault="00000000">
      <w:pPr>
        <w:spacing w:after="40" w:line="312" w:lineRule="auto"/>
        <w:ind w:left="340" w:hanging="340"/>
        <w:jc w:val="left"/>
      </w:pPr>
      <w:r>
        <w:rPr>
          <w:color w:val="000000"/>
          <w:sz w:val="20"/>
        </w:rPr>
        <w:t xml:space="preserve">[10] U.S. Securities and Exchange Commission. 2016. Investment Company Reporting Modernization (Final Rule; Forms N-PORT and N-CEN). Available at </w:t>
      </w:r>
      <w:hyperlink r:id="rId17" w:history="1">
        <w:r w:rsidRPr="00EC4384">
          <w:rPr>
            <w:rStyle w:val="Hyperlink"/>
            <w:sz w:val="20"/>
          </w:rPr>
          <w:t>https://www.federalregister.gov/documents/2016/11/18/2016-25349/investment-company-reporting-modernization</w:t>
        </w:r>
      </w:hyperlink>
    </w:p>
    <w:p w14:paraId="5F48D80E" w14:textId="4CD4A147" w:rsidR="00380CCD" w:rsidRDefault="00000000">
      <w:pPr>
        <w:spacing w:after="40" w:line="312" w:lineRule="auto"/>
        <w:ind w:left="340" w:hanging="340"/>
        <w:jc w:val="left"/>
      </w:pPr>
      <w:r>
        <w:rPr>
          <w:color w:val="000000"/>
          <w:sz w:val="20"/>
        </w:rPr>
        <w:t xml:space="preserve">[11] U.S. Securities and Exchange Commission. 2016. Investment Company Reporting Modernization Rules — Small Entity Compliance Guide. Available at </w:t>
      </w:r>
      <w:hyperlink r:id="rId18" w:history="1">
        <w:r w:rsidRPr="00EC4384">
          <w:rPr>
            <w:rStyle w:val="Hyperlink"/>
            <w:sz w:val="20"/>
          </w:rPr>
          <w:t>https://www.sec.gov/divisions/investment/guidance/secg-investment-company-reporting-modernization-rules</w:t>
        </w:r>
      </w:hyperlink>
    </w:p>
    <w:p w14:paraId="089580BC" w14:textId="2BED4C6D" w:rsidR="00380CCD" w:rsidRDefault="00000000">
      <w:pPr>
        <w:spacing w:after="40" w:line="312" w:lineRule="auto"/>
        <w:ind w:left="340" w:hanging="340"/>
        <w:jc w:val="left"/>
      </w:pPr>
      <w:r>
        <w:rPr>
          <w:color w:val="000000"/>
          <w:sz w:val="20"/>
        </w:rPr>
        <w:t xml:space="preserve">[12] U.S. Securities and Exchange Commission. 2019. Exchange-Traded Funds (Final Rule; Rule 6c-11). Available at </w:t>
      </w:r>
      <w:hyperlink r:id="rId19" w:history="1">
        <w:r w:rsidRPr="00EC4384">
          <w:rPr>
            <w:rStyle w:val="Hyperlink"/>
            <w:sz w:val="20"/>
          </w:rPr>
          <w:t>https://www.federalregister.gov/documents/2019/10/24/2019-21250/exchange-traded-funds</w:t>
        </w:r>
      </w:hyperlink>
    </w:p>
    <w:sectPr w:rsidR="00380CCD" w:rsidSect="00034616">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1336A" w14:textId="77777777" w:rsidR="00430A51" w:rsidRDefault="00430A51">
      <w:pPr>
        <w:spacing w:line="240" w:lineRule="auto"/>
      </w:pPr>
      <w:r>
        <w:separator/>
      </w:r>
    </w:p>
  </w:endnote>
  <w:endnote w:type="continuationSeparator" w:id="0">
    <w:p w14:paraId="4AF4683E" w14:textId="77777777" w:rsidR="00430A51" w:rsidRDefault="00430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E21C" w14:textId="77777777" w:rsidR="00C3547F" w:rsidRDefault="00C354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1DCD" w14:textId="77777777" w:rsidR="00380CCD" w:rsidRDefault="00000000">
    <w:pPr>
      <w:pStyle w:val="Footer"/>
      <w:jc w:val="cen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DCDD" w14:textId="77777777" w:rsidR="00C3547F" w:rsidRDefault="00C354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FDD78" w14:textId="77777777" w:rsidR="00430A51" w:rsidRDefault="00430A51">
      <w:pPr>
        <w:spacing w:line="240" w:lineRule="auto"/>
      </w:pPr>
      <w:r>
        <w:separator/>
      </w:r>
    </w:p>
  </w:footnote>
  <w:footnote w:type="continuationSeparator" w:id="0">
    <w:p w14:paraId="5A3CD846" w14:textId="77777777" w:rsidR="00430A51" w:rsidRDefault="00430A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DA22" w14:textId="77777777" w:rsidR="00C3547F" w:rsidRDefault="00C354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F5EA" w14:textId="77777777" w:rsidR="00C3547F" w:rsidRDefault="00C354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5D41" w14:textId="77777777" w:rsidR="00C3547F" w:rsidRDefault="00C35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8395E"/>
    <w:multiLevelType w:val="hybridMultilevel"/>
    <w:tmpl w:val="5074DE7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E7A1BC3"/>
    <w:multiLevelType w:val="hybridMultilevel"/>
    <w:tmpl w:val="2AE051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533692206">
    <w:abstractNumId w:val="8"/>
  </w:num>
  <w:num w:numId="2" w16cid:durableId="1810240942">
    <w:abstractNumId w:val="6"/>
  </w:num>
  <w:num w:numId="3" w16cid:durableId="1672878897">
    <w:abstractNumId w:val="5"/>
  </w:num>
  <w:num w:numId="4" w16cid:durableId="895894007">
    <w:abstractNumId w:val="4"/>
  </w:num>
  <w:num w:numId="5" w16cid:durableId="163329074">
    <w:abstractNumId w:val="7"/>
  </w:num>
  <w:num w:numId="6" w16cid:durableId="740255787">
    <w:abstractNumId w:val="3"/>
  </w:num>
  <w:num w:numId="7" w16cid:durableId="469834064">
    <w:abstractNumId w:val="2"/>
  </w:num>
  <w:num w:numId="8" w16cid:durableId="2069574678">
    <w:abstractNumId w:val="1"/>
  </w:num>
  <w:num w:numId="9" w16cid:durableId="1911620632">
    <w:abstractNumId w:val="0"/>
  </w:num>
  <w:num w:numId="10" w16cid:durableId="1516531536">
    <w:abstractNumId w:val="10"/>
  </w:num>
  <w:num w:numId="11" w16cid:durableId="6972387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A6E"/>
    <w:rsid w:val="0015074B"/>
    <w:rsid w:val="0029639D"/>
    <w:rsid w:val="00326F90"/>
    <w:rsid w:val="00380CCD"/>
    <w:rsid w:val="003F54EF"/>
    <w:rsid w:val="00430A51"/>
    <w:rsid w:val="004A51A6"/>
    <w:rsid w:val="00670927"/>
    <w:rsid w:val="00687530"/>
    <w:rsid w:val="006C7D2E"/>
    <w:rsid w:val="00752928"/>
    <w:rsid w:val="00882509"/>
    <w:rsid w:val="00951F3D"/>
    <w:rsid w:val="00987A9A"/>
    <w:rsid w:val="00AA1D8D"/>
    <w:rsid w:val="00B47730"/>
    <w:rsid w:val="00C3547F"/>
    <w:rsid w:val="00CB0664"/>
    <w:rsid w:val="00E56CAF"/>
    <w:rsid w:val="00E663E4"/>
    <w:rsid w:val="00EC43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F7701E"/>
  <w14:defaultImageDpi w14:val="300"/>
  <w15:docId w15:val="{82EFE3C8-E20D-41F7-99D0-D0C5CB6B9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SimSu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F54EF"/>
    <w:rPr>
      <w:rFonts w:cs="Times New Roman"/>
      <w:sz w:val="24"/>
      <w:szCs w:val="24"/>
    </w:rPr>
  </w:style>
  <w:style w:type="character" w:styleId="Hyperlink">
    <w:name w:val="Hyperlink"/>
    <w:basedOn w:val="DefaultParagraphFont"/>
    <w:uiPriority w:val="99"/>
    <w:unhideWhenUsed/>
    <w:rsid w:val="00EC4384"/>
    <w:rPr>
      <w:color w:val="0000FF" w:themeColor="hyperlink"/>
      <w:u w:val="single"/>
    </w:rPr>
  </w:style>
  <w:style w:type="character" w:styleId="UnresolvedMention">
    <w:name w:val="Unresolved Mention"/>
    <w:basedOn w:val="DefaultParagraphFont"/>
    <w:uiPriority w:val="99"/>
    <w:semiHidden/>
    <w:unhideWhenUsed/>
    <w:rsid w:val="00EC4384"/>
    <w:rPr>
      <w:color w:val="605E5C"/>
      <w:shd w:val="clear" w:color="auto" w:fill="E1DFDD"/>
    </w:rPr>
  </w:style>
  <w:style w:type="character" w:styleId="FollowedHyperlink">
    <w:name w:val="FollowedHyperlink"/>
    <w:basedOn w:val="DefaultParagraphFont"/>
    <w:uiPriority w:val="99"/>
    <w:semiHidden/>
    <w:unhideWhenUsed/>
    <w:rsid w:val="00EC43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ga.com/us/en/individual/capabilities/spdr-core-equity-etfs/spy-sp-500" TargetMode="External"/><Relationship Id="rId13" Type="http://schemas.openxmlformats.org/officeDocument/2006/relationships/hyperlink" Target="https://www.sec.gov/info/edgar/regoverview.htm" TargetMode="External"/><Relationship Id="rId18" Type="http://schemas.openxmlformats.org/officeDocument/2006/relationships/hyperlink" Target="https://www.sec.gov/divisions/investment/guidance/secg-investment-company-reporting-modernization-rul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docs-analyticslab.morningstar.com/1.7.1/morningstar_data/holdings.html" TargetMode="External"/><Relationship Id="rId17" Type="http://schemas.openxmlformats.org/officeDocument/2006/relationships/hyperlink" Target="https://www.federalregister.gov/documents/2016/11/18/2016-25349/investment-company-reporting-modernization"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federalregister.gov/documents/2009/02/19/E9-3359/interactive-data-for-mutual-fund-riskreturn-summary"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rningstardirect.morningstar.com/clientcomm/Morningstar_Category_Classification.pdf"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sec.gov/rules/2004/02/shareholder-reports-and-quarterly-portfolio-disclosure-registered-management" TargetMode="External"/><Relationship Id="rId23" Type="http://schemas.openxmlformats.org/officeDocument/2006/relationships/footer" Target="footer2.xml"/><Relationship Id="rId10" Type="http://schemas.openxmlformats.org/officeDocument/2006/relationships/hyperlink" Target="https://www.omg.org/spec/EDMC-FIBO/FBC/" TargetMode="External"/><Relationship Id="rId19" Type="http://schemas.openxmlformats.org/officeDocument/2006/relationships/hyperlink" Target="https://www.federalregister.gov/documents/2019/10/24/2019-21250/exchange-traded-funds" TargetMode="External"/><Relationship Id="rId4" Type="http://schemas.openxmlformats.org/officeDocument/2006/relationships/settings" Target="settings.xml"/><Relationship Id="rId9" Type="http://schemas.openxmlformats.org/officeDocument/2006/relationships/hyperlink" Target="https://edmcouncil.org/frameworks/industry-models/fibo/" TargetMode="External"/><Relationship Id="rId14" Type="http://schemas.openxmlformats.org/officeDocument/2006/relationships/hyperlink" Target="https://www.sec.gov/about/about-securities-laws"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1558</Words>
  <Characters>10676</Characters>
  <Application>Microsoft Office Word</Application>
  <DocSecurity>0</DocSecurity>
  <Lines>381</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孟宸 李</cp:lastModifiedBy>
  <cp:revision>5</cp:revision>
  <dcterms:created xsi:type="dcterms:W3CDTF">2026-10-05T21:14:00Z</dcterms:created>
  <dcterms:modified xsi:type="dcterms:W3CDTF">2026-10-05T21:56:00Z</dcterms:modified>
  <cp:category/>
</cp:coreProperties>
</file>