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3A58" w14:textId="34EC3915" w:rsidR="00317760" w:rsidRDefault="00317760" w:rsidP="00317760">
      <w:pPr>
        <w:pStyle w:val="Heading1"/>
      </w:pPr>
      <w:r w:rsidRPr="00317760">
        <w:t>Hierarchy</w:t>
      </w:r>
      <w:r>
        <w:t xml:space="preserve"> Text</w:t>
      </w:r>
    </w:p>
    <w:p w14:paraId="5FDCA685" w14:textId="77777777" w:rsidR="00317760" w:rsidRPr="00317760" w:rsidRDefault="00317760" w:rsidP="00317760">
      <w:r w:rsidRPr="00317760">
        <w:t xml:space="preserve">Existing representations of fund and ETF allocation information can be organized by their structural paradigms and primary use cases into three distinct categories: Regulatory &amp; Compliance Models, Operational &amp; Commercial Aggregators, and Semantic &amp; Knowledge Representations. </w:t>
      </w:r>
    </w:p>
    <w:p w14:paraId="2EED2C09" w14:textId="77777777" w:rsidR="00317760" w:rsidRPr="00317760" w:rsidRDefault="00317760" w:rsidP="00317760">
      <w:r w:rsidRPr="00317760">
        <w:t xml:space="preserve">First, </w:t>
      </w:r>
      <w:r w:rsidRPr="00317760">
        <w:rPr>
          <w:b/>
          <w:bCs/>
        </w:rPr>
        <w:t>Regulatory &amp; Compliance Models</w:t>
      </w:r>
      <w:r w:rsidRPr="00317760">
        <w:t xml:space="preserve"> are designed for mandatory oversight and public accountability. This category has evolved from unstructured narrative documents (SEC Forms N-SAR and N-Q) into machine-readable formats, including structured XML filings (N-PORT/N-CEN) and semantic XBRL taxonomies used for tagging prospectus summaries. </w:t>
      </w:r>
    </w:p>
    <w:p w14:paraId="5BBF2870" w14:textId="77777777" w:rsidR="00317760" w:rsidRPr="00317760" w:rsidRDefault="00317760" w:rsidP="00317760">
      <w:r w:rsidRPr="00317760">
        <w:t xml:space="preserve">Second, </w:t>
      </w:r>
      <w:r w:rsidRPr="00317760">
        <w:rPr>
          <w:b/>
          <w:bCs/>
        </w:rPr>
        <w:t>Operational &amp; Commercial Aggregators</w:t>
      </w:r>
      <w:r w:rsidRPr="00317760">
        <w:t xml:space="preserve"> prioritize market mechanics and cross-fund analysis. This includes high-frequency daily ETF website disclosures—driven by SEC Rule 6c-11 to support pre-market creation/redemption mechanisms—and commercial databases like Morningstar. These proprietary databases normalize heterogeneous holdings data into standard relational schemas for easier investor benchmarking. </w:t>
      </w:r>
    </w:p>
    <w:p w14:paraId="4F7F425A" w14:textId="77777777" w:rsidR="00317760" w:rsidRPr="00317760" w:rsidRDefault="00317760" w:rsidP="00317760">
      <w:r w:rsidRPr="00317760">
        <w:t xml:space="preserve">Finally, </w:t>
      </w:r>
      <w:r w:rsidRPr="00317760">
        <w:rPr>
          <w:b/>
          <w:bCs/>
        </w:rPr>
        <w:t>Semantic &amp; Knowledge Representations</w:t>
      </w:r>
      <w:r w:rsidRPr="00317760">
        <w:t xml:space="preserve"> focus on formal, cross-system interoperability. This category includes standardized financial ontologies like the Financial Industry Business Ontology (FIBO) and academic semantic applications such as GFRO, which use RDF/OWL to define shared industry concepts. </w:t>
      </w:r>
    </w:p>
    <w:p w14:paraId="2B30E911" w14:textId="3ABC0303" w:rsidR="00317760" w:rsidRDefault="00317760" w:rsidP="00317760">
      <w:r w:rsidRPr="00317760">
        <w:t xml:space="preserve">While these models successfully support regulatory audits, daily trading, and high-level conceptual definitions, a specific gap remains. Our project targets an explicit semantic pattern that explicitly links a dated, provider-published daily disclosure to its source provenance, underlying entries, and classification scheme. </w:t>
      </w:r>
    </w:p>
    <w:p w14:paraId="11D1CB3F" w14:textId="77777777" w:rsidR="00317760" w:rsidRDefault="00317760" w:rsidP="00317760"/>
    <w:p w14:paraId="58DFD6EA" w14:textId="154E81C3" w:rsidR="005A685D" w:rsidRDefault="00734E0E" w:rsidP="005A685D">
      <w:pPr>
        <w:rPr>
          <w:rStyle w:val="Heading1Char"/>
        </w:rPr>
      </w:pPr>
      <w:r>
        <w:rPr>
          <w:noProof/>
        </w:rPr>
        <w:drawing>
          <wp:inline distT="0" distB="0" distL="0" distR="0" wp14:anchorId="7AFA32F6" wp14:editId="40A04D1C">
            <wp:extent cx="5943600" cy="1181100"/>
            <wp:effectExtent l="0" t="0" r="0" b="0"/>
            <wp:docPr id="3247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1181100"/>
                    </a:xfrm>
                    <a:prstGeom prst="rect">
                      <a:avLst/>
                    </a:prstGeom>
                    <a:noFill/>
                    <a:ln>
                      <a:noFill/>
                    </a:ln>
                  </pic:spPr>
                </pic:pic>
              </a:graphicData>
            </a:graphic>
          </wp:inline>
        </w:drawing>
      </w:r>
      <w:r w:rsidR="00317760">
        <w:br w:type="page"/>
      </w:r>
      <w:r w:rsidR="005A685D" w:rsidRPr="005A685D">
        <w:rPr>
          <w:rStyle w:val="Heading1Char"/>
        </w:rPr>
        <w:lastRenderedPageBreak/>
        <w:t>Gap Statement</w:t>
      </w:r>
    </w:p>
    <w:p w14:paraId="777A7DCA" w14:textId="346EAF79" w:rsidR="005A685D" w:rsidRDefault="005A685D" w:rsidP="005A685D">
      <w:pPr>
        <w:pBdr>
          <w:bottom w:val="single" w:sz="6" w:space="1" w:color="auto"/>
        </w:pBdr>
      </w:pPr>
      <w:r>
        <w:t>Version 1</w:t>
      </w:r>
    </w:p>
    <w:p w14:paraId="1722704F" w14:textId="09254FFE" w:rsidR="005A685D" w:rsidRDefault="005A685D" w:rsidP="005A685D">
      <w:pPr>
        <w:pBdr>
          <w:bottom w:val="single" w:sz="6" w:space="1" w:color="auto"/>
        </w:pBdr>
      </w:pPr>
      <w:r w:rsidRPr="005A685D">
        <w:t>While the Financial Industry Business Ontology (FIBO) provides foundational concepts for funds, portfolios, reporting dates, providers, and classification schemes, it currently lacks an explicit, integrated pattern that connects a dated, provider-published exchange-traded fund (ETF) allocation breakdown to its source document and classification context. Furthermore, existing modules do not clearly distinguish an observed, dated allocation disclosure</w:t>
      </w:r>
      <w:r>
        <w:t xml:space="preserve">. </w:t>
      </w:r>
      <w:r w:rsidRPr="005A685D">
        <w:t>what a provider actually reported at a specific time</w:t>
      </w:r>
      <w:r>
        <w:t xml:space="preserve">, </w:t>
      </w:r>
      <w:r w:rsidRPr="005A685D">
        <w:t>from a fund's general investment policy, which only defines what a fund is permitted to hold. Although previous research has extended FIBO to produce point-in-time allocation views, a gap remains for a lightweight, reusable application pattern explicitly designed to integrate ETF allocation snapshots while preserving source provenance and semantic meaning.</w:t>
      </w:r>
    </w:p>
    <w:p w14:paraId="4A74E47E" w14:textId="57F80B4B" w:rsidR="005A685D" w:rsidRDefault="005A685D" w:rsidP="005A685D">
      <w:r>
        <w:t>Version 2</w:t>
      </w:r>
    </w:p>
    <w:p w14:paraId="606BAFE1" w14:textId="77777777" w:rsidR="005A685D" w:rsidRPr="005A685D" w:rsidRDefault="005A685D" w:rsidP="005A685D">
      <w:r w:rsidRPr="005A685D">
        <w:t xml:space="preserve">The Financial Industry Business Ontology (FIBO) provides a standardized vocabulary for financial concepts like funds, portfolios, and reporting dates. However, it lacks a specific pattern to connect a dated, provider-published ETF allocation directly to its supporting source document and classification context. Without this clear pattern, developers might connect these individual components inconsistently. </w:t>
      </w:r>
    </w:p>
    <w:p w14:paraId="1E474745" w14:textId="77777777" w:rsidR="005A685D" w:rsidRPr="005A685D" w:rsidRDefault="005A685D" w:rsidP="005A685D">
      <w:r w:rsidRPr="005A685D">
        <w:t xml:space="preserve">Existing semantic representations also fail to separate a dated allocation observation from a fund's general investment policy. An observation records what a provider actually reported at a specific time, whereas a policy only defines what the fund is allowed to hold. While previous research has extended FIBO for point-in-time reporting, there is still a need for a lightweight, reusable pattern designed specifically for ETF allocation snapshots. This project addresses the gap by proposing a model that separates historical observations from investment policies while preserving the original source provenance. </w:t>
      </w:r>
    </w:p>
    <w:p w14:paraId="297BAE8E" w14:textId="204B67B9" w:rsidR="005A685D" w:rsidRDefault="005A685D">
      <w:r>
        <w:br w:type="page"/>
      </w:r>
    </w:p>
    <w:p w14:paraId="6E038B36" w14:textId="4E2E52E2" w:rsidR="0030728C" w:rsidRPr="0030728C" w:rsidRDefault="0030728C" w:rsidP="0030728C">
      <w:pPr>
        <w:pStyle w:val="Heading1"/>
      </w:pPr>
      <w:r w:rsidRPr="0030728C">
        <w:lastRenderedPageBreak/>
        <w:t>FIBO Concept Verification &amp; Gap Validation</w:t>
      </w:r>
    </w:p>
    <w:p w14:paraId="190076C1" w14:textId="77777777" w:rsidR="0030728C" w:rsidRPr="0030728C" w:rsidRDefault="0030728C" w:rsidP="0030728C">
      <w:r w:rsidRPr="0030728C">
        <w:rPr>
          <w:b/>
          <w:bCs/>
        </w:rPr>
        <w:t>Text for the Team / Appendix:</w:t>
      </w:r>
    </w:p>
    <w:p w14:paraId="41D87F63" w14:textId="77777777" w:rsidR="0030728C" w:rsidRPr="0030728C" w:rsidRDefault="0030728C" w:rsidP="0030728C">
      <w:r w:rsidRPr="0030728C">
        <w:rPr>
          <w:b/>
          <w:bCs/>
        </w:rPr>
        <w:t>1. FIBO Modules for Reuse and Concept Verification</w:t>
      </w:r>
    </w:p>
    <w:p w14:paraId="299BD86D" w14:textId="77777777" w:rsidR="0030728C" w:rsidRPr="0030728C" w:rsidRDefault="0030728C" w:rsidP="0030728C">
      <w:r w:rsidRPr="0030728C">
        <w:t>After auditing the relevant Financial Industry Business Ontology (FIBO) modules, I have verified our team's proposed semantic mappings and reuse decisions:</w:t>
      </w:r>
    </w:p>
    <w:p w14:paraId="5ACA90CF" w14:textId="77777777" w:rsidR="0030728C" w:rsidRPr="0030728C" w:rsidRDefault="0030728C" w:rsidP="0030728C">
      <w:pPr>
        <w:numPr>
          <w:ilvl w:val="0"/>
          <w:numId w:val="5"/>
        </w:numPr>
      </w:pPr>
      <w:r w:rsidRPr="0030728C">
        <w:rPr>
          <w:b/>
          <w:bCs/>
        </w:rPr>
        <w:t>Classification vs. Categories:</w:t>
      </w:r>
      <w:r w:rsidRPr="0030728C">
        <w:t xml:space="preserve"> In the </w:t>
      </w:r>
      <w:proofErr w:type="spellStart"/>
      <w:r w:rsidRPr="0030728C">
        <w:t>CollectiveInvestmentVehicles</w:t>
      </w:r>
      <w:proofErr w:type="spellEnd"/>
      <w:r w:rsidRPr="0030728C">
        <w:t xml:space="preserve"> module, </w:t>
      </w:r>
      <w:proofErr w:type="spellStart"/>
      <w:r w:rsidRPr="0030728C">
        <w:t>FundClassification</w:t>
      </w:r>
      <w:proofErr w:type="spellEnd"/>
      <w:r w:rsidRPr="0030728C">
        <w:t xml:space="preserve"> and </w:t>
      </w:r>
      <w:proofErr w:type="spellStart"/>
      <w:r w:rsidRPr="0030728C">
        <w:t>FundClassificationScheme</w:t>
      </w:r>
      <w:proofErr w:type="spellEnd"/>
      <w:r w:rsidRPr="0030728C">
        <w:t xml:space="preserve"> classify an entire collective investment vehicle by its broad fund type (e.g., equity vs. fixed income). This confirms Taimoor’s finding: these concepts do not represent individual observed holding categories like "Technology" or "Canada" within a fund. We will need generic classifier concepts for our </w:t>
      </w:r>
      <w:proofErr w:type="spellStart"/>
      <w:r w:rsidRPr="0030728C">
        <w:t>AllocationCategory</w:t>
      </w:r>
      <w:proofErr w:type="spellEnd"/>
      <w:r w:rsidRPr="0030728C">
        <w:t xml:space="preserve"> entity. </w:t>
      </w:r>
    </w:p>
    <w:p w14:paraId="28222C6B" w14:textId="77777777" w:rsidR="0030728C" w:rsidRPr="0030728C" w:rsidRDefault="0030728C" w:rsidP="0030728C">
      <w:pPr>
        <w:numPr>
          <w:ilvl w:val="0"/>
          <w:numId w:val="5"/>
        </w:numPr>
      </w:pPr>
      <w:r w:rsidRPr="0030728C">
        <w:rPr>
          <w:b/>
          <w:bCs/>
        </w:rPr>
        <w:t>Policy vs. Observation:</w:t>
      </w:r>
      <w:r w:rsidRPr="0030728C">
        <w:t xml:space="preserve"> FIBO uses the property </w:t>
      </w:r>
      <w:proofErr w:type="spellStart"/>
      <w:r w:rsidRPr="0030728C">
        <w:t>definesAllocations</w:t>
      </w:r>
      <w:proofErr w:type="spellEnd"/>
      <w:r w:rsidRPr="0030728C">
        <w:t xml:space="preserve"> to link a </w:t>
      </w:r>
      <w:proofErr w:type="spellStart"/>
      <w:r w:rsidRPr="0030728C">
        <w:t>FundPortfolioInvestmentPolicy</w:t>
      </w:r>
      <w:proofErr w:type="spellEnd"/>
      <w:r w:rsidRPr="0030728C">
        <w:t xml:space="preserve"> to specific portfolio investment limitations. This defines a normative constraint on what a fund is permitted to hold. Therefore, our ER diagram correctly represents an ETF breakdown as a dated, empirical observation of a disclosure, rather than an investment policy constraint. </w:t>
      </w:r>
    </w:p>
    <w:p w14:paraId="420EC8D5" w14:textId="77777777" w:rsidR="0030728C" w:rsidRPr="0030728C" w:rsidRDefault="0030728C" w:rsidP="0030728C">
      <w:pPr>
        <w:numPr>
          <w:ilvl w:val="0"/>
          <w:numId w:val="5"/>
        </w:numPr>
      </w:pPr>
      <w:r w:rsidRPr="0030728C">
        <w:rPr>
          <w:b/>
          <w:bCs/>
        </w:rPr>
        <w:t>Baskets &amp; Dates:</w:t>
      </w:r>
      <w:r w:rsidRPr="0030728C">
        <w:t xml:space="preserve"> The </w:t>
      </w:r>
      <w:proofErr w:type="spellStart"/>
      <w:r w:rsidRPr="0030728C">
        <w:t>WeightedBasketConstituent</w:t>
      </w:r>
      <w:proofErr w:type="spellEnd"/>
      <w:r w:rsidRPr="0030728C">
        <w:t xml:space="preserve"> concept requires a weighted constituent and a specific weighting expression. A disclosure is high-level information about an ETF, so it should not automatically be typed strictly as an investment basket. Furthermore, </w:t>
      </w:r>
      <w:proofErr w:type="spellStart"/>
      <w:r w:rsidRPr="0030728C">
        <w:t>hasAsOfDate</w:t>
      </w:r>
      <w:proofErr w:type="spellEnd"/>
      <w:r w:rsidRPr="0030728C">
        <w:t xml:space="preserve"> is an object property that links to a structured date individual, not a direct date-valued literal. Our later RDF mapping must handle this date structure explicitly. </w:t>
      </w:r>
    </w:p>
    <w:p w14:paraId="4C3B638D" w14:textId="77777777" w:rsidR="0030728C" w:rsidRPr="0030728C" w:rsidRDefault="0030728C" w:rsidP="0030728C">
      <w:pPr>
        <w:numPr>
          <w:ilvl w:val="0"/>
          <w:numId w:val="5"/>
        </w:numPr>
      </w:pPr>
      <w:r w:rsidRPr="0030728C">
        <w:rPr>
          <w:b/>
          <w:bCs/>
        </w:rPr>
        <w:t>Publishers &amp; Portfolios:</w:t>
      </w:r>
      <w:r w:rsidRPr="0030728C">
        <w:t xml:space="preserve"> FIBO’s Ownership module defines Portfolio as a collection of holdings, while the Publishers module defines Publisher as a functional party role. Our model's </w:t>
      </w:r>
      <w:proofErr w:type="spellStart"/>
      <w:r w:rsidRPr="0030728C">
        <w:t>ETFProvider</w:t>
      </w:r>
      <w:proofErr w:type="spellEnd"/>
      <w:r w:rsidRPr="0030728C">
        <w:t xml:space="preserve"> entity records an organization, acknowledging that an organization may play a publishing role without being identical to the role itself. </w:t>
      </w:r>
    </w:p>
    <w:p w14:paraId="1D66FFB3" w14:textId="77777777" w:rsidR="0030728C" w:rsidRPr="0030728C" w:rsidRDefault="0030728C" w:rsidP="0030728C">
      <w:r w:rsidRPr="0030728C">
        <w:rPr>
          <w:b/>
          <w:bCs/>
        </w:rPr>
        <w:t>2. Gap Validation Against Prior Literature</w:t>
      </w:r>
      <w:r w:rsidRPr="0030728C">
        <w:t xml:space="preserve"> To ensure our project advances the state of the art, I reviewed the 2017 application of FIBO by Browne et al., which developed the Global Fund Reporting Ontology (GFRO). </w:t>
      </w:r>
    </w:p>
    <w:p w14:paraId="136C49F3" w14:textId="77777777" w:rsidR="0030728C" w:rsidRPr="0030728C" w:rsidRDefault="0030728C" w:rsidP="0030728C">
      <w:pPr>
        <w:numPr>
          <w:ilvl w:val="0"/>
          <w:numId w:val="6"/>
        </w:numPr>
      </w:pPr>
      <w:r w:rsidRPr="0030728C">
        <w:rPr>
          <w:b/>
          <w:bCs/>
        </w:rPr>
        <w:t>Prior Work Scope:</w:t>
      </w:r>
      <w:r w:rsidRPr="0030728C">
        <w:t xml:space="preserve"> Browne et al. demonstrate point-in-time fund graphs and geographic/sector summaries using FIBO. </w:t>
      </w:r>
    </w:p>
    <w:p w14:paraId="3C5DB38A" w14:textId="77777777" w:rsidR="0030728C" w:rsidRPr="0030728C" w:rsidRDefault="0030728C" w:rsidP="0030728C">
      <w:pPr>
        <w:numPr>
          <w:ilvl w:val="0"/>
          <w:numId w:val="6"/>
        </w:numPr>
      </w:pPr>
      <w:r w:rsidRPr="0030728C">
        <w:rPr>
          <w:b/>
          <w:bCs/>
        </w:rPr>
        <w:t>Proposed Integration Gap:</w:t>
      </w:r>
      <w:r w:rsidRPr="0030728C">
        <w:t xml:space="preserve"> However, GFRO does not present an explicit, lightweight integration pattern connecting a daily, provider-published website </w:t>
      </w:r>
      <w:r w:rsidRPr="0030728C">
        <w:lastRenderedPageBreak/>
        <w:t xml:space="preserve">disclosure directly to its captured source document, publication timestamp, underlying percentage entries, and classification context. </w:t>
      </w:r>
    </w:p>
    <w:p w14:paraId="71BD7AD0" w14:textId="77777777" w:rsidR="0030728C" w:rsidRPr="0030728C" w:rsidRDefault="0030728C" w:rsidP="0030728C">
      <w:pPr>
        <w:numPr>
          <w:ilvl w:val="0"/>
          <w:numId w:val="6"/>
        </w:numPr>
      </w:pPr>
      <w:r w:rsidRPr="0030728C">
        <w:rPr>
          <w:b/>
          <w:bCs/>
        </w:rPr>
        <w:t>Positioning Our Contribution:</w:t>
      </w:r>
      <w:r w:rsidRPr="0030728C">
        <w:t xml:space="preserve"> Our project does not claim that FIBO lacks the capability to represent weights, dates, or classifications. Instead, we propose a narrow, explicit application pattern that bridges this integration gap, ensuring that published ETF allocations retain their source provenance and semantic meaning.</w:t>
      </w:r>
    </w:p>
    <w:p w14:paraId="1CFDF746" w14:textId="714E32AE" w:rsidR="008610AE" w:rsidRDefault="008610AE">
      <w:r>
        <w:br w:type="page"/>
      </w:r>
    </w:p>
    <w:p w14:paraId="5FFB3492" w14:textId="3BDBEABE" w:rsidR="005A685D" w:rsidRDefault="008610AE" w:rsidP="008610AE">
      <w:pPr>
        <w:pStyle w:val="Heading1"/>
      </w:pPr>
      <w:r>
        <w:lastRenderedPageBreak/>
        <w:t xml:space="preserve">Addition for Masons </w:t>
      </w:r>
      <w:proofErr w:type="spellStart"/>
      <w:r>
        <w:t>Comparision</w:t>
      </w:r>
      <w:proofErr w:type="spellEnd"/>
      <w:r>
        <w:t xml:space="preserve"> table.</w:t>
      </w:r>
    </w:p>
    <w:p w14:paraId="510E4999" w14:textId="77777777" w:rsidR="008610AE" w:rsidRDefault="008610AE" w:rsidP="008610AE">
      <w:r>
        <w:t>Existing Model: GFRO (Browne et al.) / Prior Academic Work</w:t>
      </w:r>
    </w:p>
    <w:p w14:paraId="2C2A6513" w14:textId="77777777" w:rsidR="008610AE" w:rsidRDefault="008610AE" w:rsidP="008610AE"/>
    <w:p w14:paraId="16885FB4" w14:textId="2E1BAAD3" w:rsidR="008610AE" w:rsidRDefault="008610AE" w:rsidP="008610AE">
      <w:r w:rsidRPr="008610AE">
        <w:rPr>
          <w:b/>
          <w:bCs/>
        </w:rPr>
        <w:t>Main Purpose:</w:t>
      </w:r>
      <w:r>
        <w:t xml:space="preserve"> Point-in-time semantic fund reporting and regional summaries.</w:t>
      </w:r>
    </w:p>
    <w:p w14:paraId="1BD6AF03" w14:textId="5DC6C90C" w:rsidR="008610AE" w:rsidRDefault="008610AE" w:rsidP="008610AE">
      <w:r w:rsidRPr="008610AE">
        <w:rPr>
          <w:b/>
          <w:bCs/>
        </w:rPr>
        <w:t>Key Entities:</w:t>
      </w:r>
      <w:r>
        <w:t xml:space="preserve"> Fund; Geographic Region; Sector; Currency.</w:t>
      </w:r>
    </w:p>
    <w:p w14:paraId="526BD203" w14:textId="767535D8" w:rsidR="008610AE" w:rsidRDefault="008610AE" w:rsidP="008610AE">
      <w:r w:rsidRPr="008610AE">
        <w:rPr>
          <w:b/>
          <w:bCs/>
        </w:rPr>
        <w:t>Key Relationships:</w:t>
      </w:r>
      <w:r>
        <w:t xml:space="preserve"> Fund has regional/sector allocations at a point in time.</w:t>
      </w:r>
    </w:p>
    <w:p w14:paraId="6ADBCDA4" w14:textId="099F8D78" w:rsidR="008610AE" w:rsidRDefault="008610AE" w:rsidP="008610AE">
      <w:r w:rsidRPr="008610AE">
        <w:rPr>
          <w:b/>
          <w:bCs/>
        </w:rPr>
        <w:t>Strengths:</w:t>
      </w:r>
      <w:r>
        <w:t xml:space="preserve"> Demonstrates practical FIBO extension for aggregated fund reporting.</w:t>
      </w:r>
    </w:p>
    <w:p w14:paraId="2BC3E414" w14:textId="4902DA95" w:rsidR="008610AE" w:rsidRDefault="008610AE" w:rsidP="008610AE">
      <w:r w:rsidRPr="008610AE">
        <w:rPr>
          <w:b/>
          <w:bCs/>
        </w:rPr>
        <w:t>Limitations:</w:t>
      </w:r>
      <w:r>
        <w:t xml:space="preserve"> Lacks a lightweight pattern for daily ETF disclosures; omits source document provenance and classification scheme context.</w:t>
      </w:r>
    </w:p>
    <w:p w14:paraId="0C33FAAF" w14:textId="15118FD0" w:rsidR="008610AE" w:rsidRPr="008610AE" w:rsidRDefault="008610AE" w:rsidP="008610AE">
      <w:r w:rsidRPr="008610AE">
        <w:rPr>
          <w:b/>
          <w:bCs/>
        </w:rPr>
        <w:t>Implications for ER Design:</w:t>
      </w:r>
      <w:r>
        <w:t xml:space="preserve"> Validates the use of formal semantics but confirms the gap for an explicit source-attributed disclosure pattern.</w:t>
      </w:r>
    </w:p>
    <w:p w14:paraId="6D8EAE3A" w14:textId="676C26EE" w:rsidR="00317760" w:rsidRDefault="005A685D" w:rsidP="005A685D">
      <w:r>
        <w:br w:type="page"/>
      </w:r>
      <w:r w:rsidR="00317760">
        <w:lastRenderedPageBreak/>
        <w:t>Things to do</w:t>
      </w:r>
    </w:p>
    <w:p w14:paraId="41B921FB" w14:textId="77777777" w:rsidR="00317760" w:rsidRPr="00317760" w:rsidRDefault="00317760" w:rsidP="00317760">
      <w:pPr>
        <w:rPr>
          <w:b/>
          <w:bCs/>
        </w:rPr>
      </w:pPr>
      <w:r w:rsidRPr="00317760">
        <w:rPr>
          <w:b/>
          <w:bCs/>
        </w:rPr>
        <w:t>1. Primary Lead Deliverables (Hierarchy Section &amp; Figure)</w:t>
      </w:r>
    </w:p>
    <w:p w14:paraId="76596389" w14:textId="77777777" w:rsidR="00317760" w:rsidRPr="00317760" w:rsidRDefault="00317760" w:rsidP="00317760">
      <w:pPr>
        <w:numPr>
          <w:ilvl w:val="0"/>
          <w:numId w:val="1"/>
        </w:numPr>
      </w:pPr>
      <w:r w:rsidRPr="00317760">
        <w:rPr>
          <w:b/>
          <w:bCs/>
        </w:rPr>
        <w:t>Draft the Hierarchy Section Text (Target: ~150–250 words):</w:t>
      </w:r>
    </w:p>
    <w:p w14:paraId="5E4C784D" w14:textId="77777777" w:rsidR="00317760" w:rsidRPr="00317760" w:rsidRDefault="00317760" w:rsidP="00317760">
      <w:pPr>
        <w:numPr>
          <w:ilvl w:val="1"/>
          <w:numId w:val="1"/>
        </w:numPr>
      </w:pPr>
      <w:r w:rsidRPr="00317760">
        <w:t xml:space="preserve">Group existing representations of fund/ETF data into a coherent, two-level taxonomy based on purpose, modeling paradigm, or data structure. </w:t>
      </w:r>
    </w:p>
    <w:p w14:paraId="36B013CA" w14:textId="77777777" w:rsidR="00317760" w:rsidRPr="00317760" w:rsidRDefault="00317760" w:rsidP="00317760">
      <w:pPr>
        <w:numPr>
          <w:ilvl w:val="1"/>
          <w:numId w:val="1"/>
        </w:numPr>
      </w:pPr>
      <w:r w:rsidRPr="00317760">
        <w:t xml:space="preserve">Synthesize the six paradigms identified by Mason into clear structural categories: </w:t>
      </w:r>
    </w:p>
    <w:p w14:paraId="1BF402DA" w14:textId="77777777" w:rsidR="00317760" w:rsidRPr="00317760" w:rsidRDefault="00317760" w:rsidP="00317760">
      <w:pPr>
        <w:numPr>
          <w:ilvl w:val="2"/>
          <w:numId w:val="1"/>
        </w:numPr>
      </w:pPr>
      <w:r w:rsidRPr="00317760">
        <w:rPr>
          <w:i/>
          <w:iCs/>
        </w:rPr>
        <w:t>Regulatory &amp; Compliance Models:</w:t>
      </w:r>
      <w:r w:rsidRPr="00317760">
        <w:t xml:space="preserve"> Narrative/document filings (SEC EDGAR Form N-SAR/N-Q), structured XML filings (Form N-PORT/N-CEN), and tagged summary prospectuses (XBRL). </w:t>
      </w:r>
    </w:p>
    <w:p w14:paraId="7B1E3032" w14:textId="77777777" w:rsidR="00317760" w:rsidRPr="00317760" w:rsidRDefault="00317760" w:rsidP="00317760">
      <w:pPr>
        <w:numPr>
          <w:ilvl w:val="2"/>
          <w:numId w:val="1"/>
        </w:numPr>
      </w:pPr>
      <w:r w:rsidRPr="00317760">
        <w:rPr>
          <w:i/>
          <w:iCs/>
        </w:rPr>
        <w:t>Operational &amp; Commercial Aggregators:</w:t>
      </w:r>
      <w:r w:rsidRPr="00317760">
        <w:t xml:space="preserve"> Issuer pre-market website disclosures (Rule 6c-11 HTML/PDF/CSV) and normalized analytical databases (Morningstar). </w:t>
      </w:r>
    </w:p>
    <w:p w14:paraId="502BE78C" w14:textId="77777777" w:rsidR="00317760" w:rsidRPr="00317760" w:rsidRDefault="00317760" w:rsidP="00317760">
      <w:pPr>
        <w:numPr>
          <w:ilvl w:val="2"/>
          <w:numId w:val="1"/>
        </w:numPr>
      </w:pPr>
      <w:r w:rsidRPr="00317760">
        <w:rPr>
          <w:i/>
          <w:iCs/>
        </w:rPr>
        <w:t>Semantic &amp; Knowledge Representations:</w:t>
      </w:r>
      <w:r w:rsidRPr="00317760">
        <w:t xml:space="preserve"> Formal financial ontologies (FIBO) and semantic extensions (GFRO). </w:t>
      </w:r>
    </w:p>
    <w:p w14:paraId="3F5EC997" w14:textId="77777777" w:rsidR="00317760" w:rsidRPr="00317760" w:rsidRDefault="00317760" w:rsidP="00317760">
      <w:pPr>
        <w:numPr>
          <w:ilvl w:val="1"/>
          <w:numId w:val="1"/>
        </w:numPr>
      </w:pPr>
      <w:r w:rsidRPr="00317760">
        <w:t xml:space="preserve">Explain </w:t>
      </w:r>
      <w:r w:rsidRPr="00317760">
        <w:rPr>
          <w:i/>
          <w:iCs/>
        </w:rPr>
        <w:t>why</w:t>
      </w:r>
      <w:r w:rsidRPr="00317760">
        <w:t xml:space="preserve"> these divisions exist (e.g., regulatory oversight vs. pre-market arbitrage vs. cross-system semantic interoperability) and highlight the gap your project fills. </w:t>
      </w:r>
    </w:p>
    <w:p w14:paraId="326876A1" w14:textId="77777777" w:rsidR="00317760" w:rsidRPr="00317760" w:rsidRDefault="00317760" w:rsidP="00317760">
      <w:pPr>
        <w:numPr>
          <w:ilvl w:val="0"/>
          <w:numId w:val="1"/>
        </w:numPr>
      </w:pPr>
      <w:r w:rsidRPr="00317760">
        <w:rPr>
          <w:b/>
          <w:bCs/>
        </w:rPr>
        <w:t>Create the Hierarchy Figure (Taxonomy Diagram):</w:t>
      </w:r>
    </w:p>
    <w:p w14:paraId="6C9BD0FB" w14:textId="77777777" w:rsidR="00317760" w:rsidRPr="00317760" w:rsidRDefault="00317760" w:rsidP="00317760">
      <w:pPr>
        <w:numPr>
          <w:ilvl w:val="1"/>
          <w:numId w:val="1"/>
        </w:numPr>
      </w:pPr>
      <w:r w:rsidRPr="00317760">
        <w:t xml:space="preserve">Design a simple tree or block diagram illustrating these categories, subcategories, and representative standards/formats. </w:t>
      </w:r>
    </w:p>
    <w:p w14:paraId="30AD2CDD" w14:textId="77777777" w:rsidR="00317760" w:rsidRPr="00317760" w:rsidRDefault="00317760" w:rsidP="00317760">
      <w:pPr>
        <w:numPr>
          <w:ilvl w:val="1"/>
          <w:numId w:val="1"/>
        </w:numPr>
      </w:pPr>
      <w:r w:rsidRPr="00317760">
        <w:t xml:space="preserve">Ensure it can be exported as a clean vector graphic (PDF) or high-resolution PNG to insert directly into the ACM two-column LaTeX document. </w:t>
      </w:r>
    </w:p>
    <w:p w14:paraId="7E9EE18A" w14:textId="77777777" w:rsidR="00317760" w:rsidRPr="00317760" w:rsidRDefault="00317760" w:rsidP="00317760">
      <w:pPr>
        <w:rPr>
          <w:b/>
          <w:bCs/>
        </w:rPr>
      </w:pPr>
      <w:r w:rsidRPr="00317760">
        <w:rPr>
          <w:b/>
          <w:bCs/>
        </w:rPr>
        <w:t>2. FIBO Concept Verification &amp; Gap Validation (Requested by Taimoor)</w:t>
      </w:r>
    </w:p>
    <w:p w14:paraId="303F615F" w14:textId="77777777" w:rsidR="00317760" w:rsidRPr="00317760" w:rsidRDefault="00317760" w:rsidP="00317760">
      <w:pPr>
        <w:numPr>
          <w:ilvl w:val="0"/>
          <w:numId w:val="2"/>
        </w:numPr>
      </w:pPr>
      <w:r w:rsidRPr="00317760">
        <w:rPr>
          <w:b/>
          <w:bCs/>
        </w:rPr>
        <w:t>Audit FIBO Modules for Reuse:</w:t>
      </w:r>
    </w:p>
    <w:p w14:paraId="0A874545" w14:textId="77777777" w:rsidR="00317760" w:rsidRPr="00317760" w:rsidRDefault="00317760" w:rsidP="00317760">
      <w:pPr>
        <w:numPr>
          <w:ilvl w:val="1"/>
          <w:numId w:val="2"/>
        </w:numPr>
      </w:pPr>
      <w:r w:rsidRPr="00317760">
        <w:rPr>
          <w:b/>
          <w:bCs/>
        </w:rPr>
        <w:t>Classification &amp; Categories:</w:t>
      </w:r>
      <w:r w:rsidRPr="00317760">
        <w:t xml:space="preserve"> Inspect FBC/</w:t>
      </w:r>
      <w:proofErr w:type="spellStart"/>
      <w:r w:rsidRPr="00317760">
        <w:t>ProductsAndServices</w:t>
      </w:r>
      <w:proofErr w:type="spellEnd"/>
      <w:r w:rsidRPr="00317760">
        <w:t>/</w:t>
      </w:r>
      <w:proofErr w:type="spellStart"/>
      <w:r w:rsidRPr="00317760">
        <w:t>FinancialProductsAndServices.rdf</w:t>
      </w:r>
      <w:proofErr w:type="spellEnd"/>
      <w:r w:rsidRPr="00317760">
        <w:t xml:space="preserve"> and generic classifier modules. Verify Taimoor's finding that </w:t>
      </w:r>
      <w:proofErr w:type="spellStart"/>
      <w:r w:rsidRPr="00317760">
        <w:t>FundClassification</w:t>
      </w:r>
      <w:proofErr w:type="spellEnd"/>
      <w:r w:rsidRPr="00317760">
        <w:t xml:space="preserve"> / </w:t>
      </w:r>
      <w:proofErr w:type="spellStart"/>
      <w:r w:rsidRPr="00317760">
        <w:t>FundClassificationScheme</w:t>
      </w:r>
      <w:proofErr w:type="spellEnd"/>
      <w:r w:rsidRPr="00317760">
        <w:t xml:space="preserve"> classifies the </w:t>
      </w:r>
      <w:r w:rsidRPr="00317760">
        <w:rPr>
          <w:i/>
          <w:iCs/>
        </w:rPr>
        <w:t>fund type</w:t>
      </w:r>
      <w:r w:rsidRPr="00317760">
        <w:t xml:space="preserve"> (e.g., equity vs. fixed income) rather than individual observed holding/allocation categories (e.g., Technology, Financials, Canada). </w:t>
      </w:r>
    </w:p>
    <w:p w14:paraId="02790DAF" w14:textId="77777777" w:rsidR="00317760" w:rsidRPr="00317760" w:rsidRDefault="00317760" w:rsidP="00317760">
      <w:pPr>
        <w:numPr>
          <w:ilvl w:val="1"/>
          <w:numId w:val="2"/>
        </w:numPr>
      </w:pPr>
      <w:r w:rsidRPr="00317760">
        <w:rPr>
          <w:b/>
          <w:bCs/>
        </w:rPr>
        <w:lastRenderedPageBreak/>
        <w:t>Policy vs. Observation:</w:t>
      </w:r>
      <w:r w:rsidRPr="00317760">
        <w:t xml:space="preserve"> Confirm that FIBO's </w:t>
      </w:r>
      <w:proofErr w:type="spellStart"/>
      <w:r w:rsidRPr="00317760">
        <w:t>definesAllocations</w:t>
      </w:r>
      <w:proofErr w:type="spellEnd"/>
      <w:r w:rsidRPr="00317760">
        <w:t xml:space="preserve"> connects a fund to an investment policy/limitation (e.g., target caps) rather than a dated historical disclosure event. </w:t>
      </w:r>
    </w:p>
    <w:p w14:paraId="790EAD17" w14:textId="77777777" w:rsidR="00317760" w:rsidRPr="00317760" w:rsidRDefault="00317760" w:rsidP="00317760">
      <w:pPr>
        <w:numPr>
          <w:ilvl w:val="1"/>
          <w:numId w:val="2"/>
        </w:numPr>
      </w:pPr>
      <w:r w:rsidRPr="00317760">
        <w:rPr>
          <w:b/>
          <w:bCs/>
        </w:rPr>
        <w:t>Baskets &amp; Dates:</w:t>
      </w:r>
      <w:r w:rsidRPr="00317760">
        <w:t xml:space="preserve"> Check </w:t>
      </w:r>
      <w:proofErr w:type="spellStart"/>
      <w:r w:rsidRPr="00317760">
        <w:t>WeightedBasketConstituent</w:t>
      </w:r>
      <w:proofErr w:type="spellEnd"/>
      <w:r w:rsidRPr="00317760">
        <w:t xml:space="preserve"> and verify that </w:t>
      </w:r>
      <w:proofErr w:type="spellStart"/>
      <w:r w:rsidRPr="00317760">
        <w:t>hasAsOfDate</w:t>
      </w:r>
      <w:proofErr w:type="spellEnd"/>
      <w:r w:rsidRPr="00317760">
        <w:t xml:space="preserve"> is an object property linking to a structured date individual rather than a plain literal datatype. </w:t>
      </w:r>
    </w:p>
    <w:p w14:paraId="4313463E" w14:textId="77777777" w:rsidR="00317760" w:rsidRPr="00317760" w:rsidRDefault="00317760" w:rsidP="00317760">
      <w:pPr>
        <w:numPr>
          <w:ilvl w:val="1"/>
          <w:numId w:val="2"/>
        </w:numPr>
      </w:pPr>
      <w:r w:rsidRPr="00317760">
        <w:rPr>
          <w:b/>
          <w:bCs/>
        </w:rPr>
        <w:t>Publishers &amp; Portfolios:</w:t>
      </w:r>
      <w:r w:rsidRPr="00317760">
        <w:t xml:space="preserve"> Review BE/</w:t>
      </w:r>
      <w:proofErr w:type="spellStart"/>
      <w:r w:rsidRPr="00317760">
        <w:t>FunctionalEntities</w:t>
      </w:r>
      <w:proofErr w:type="spellEnd"/>
      <w:r w:rsidRPr="00317760">
        <w:t>/</w:t>
      </w:r>
      <w:proofErr w:type="spellStart"/>
      <w:r w:rsidRPr="00317760">
        <w:t>Publishers.rdf</w:t>
      </w:r>
      <w:proofErr w:type="spellEnd"/>
      <w:r w:rsidRPr="00317760">
        <w:t xml:space="preserve"> (Publisher role) and FND/</w:t>
      </w:r>
      <w:proofErr w:type="spellStart"/>
      <w:r w:rsidRPr="00317760">
        <w:t>OwnershipAndControl</w:t>
      </w:r>
      <w:proofErr w:type="spellEnd"/>
      <w:r w:rsidRPr="00317760">
        <w:t>/</w:t>
      </w:r>
      <w:proofErr w:type="spellStart"/>
      <w:r w:rsidRPr="00317760">
        <w:t>Ownership.rdf</w:t>
      </w:r>
      <w:proofErr w:type="spellEnd"/>
      <w:r w:rsidRPr="00317760">
        <w:t xml:space="preserve"> (Portfolio) to confirm how they interface with </w:t>
      </w:r>
      <w:proofErr w:type="spellStart"/>
      <w:r w:rsidRPr="00317760">
        <w:t>ETFProvider</w:t>
      </w:r>
      <w:proofErr w:type="spellEnd"/>
      <w:r w:rsidRPr="00317760">
        <w:t xml:space="preserve"> and Customer. </w:t>
      </w:r>
    </w:p>
    <w:p w14:paraId="557A7EE1" w14:textId="77777777" w:rsidR="00317760" w:rsidRPr="00317760" w:rsidRDefault="00317760" w:rsidP="00317760">
      <w:pPr>
        <w:numPr>
          <w:ilvl w:val="0"/>
          <w:numId w:val="2"/>
        </w:numPr>
      </w:pPr>
      <w:r w:rsidRPr="00317760">
        <w:rPr>
          <w:b/>
          <w:bCs/>
        </w:rPr>
        <w:t>Validate the Gap against Prior Literature (Browne et al. / GFRO):</w:t>
      </w:r>
    </w:p>
    <w:p w14:paraId="57626D15" w14:textId="77777777" w:rsidR="00317760" w:rsidRPr="00317760" w:rsidRDefault="00317760" w:rsidP="00317760">
      <w:pPr>
        <w:numPr>
          <w:ilvl w:val="1"/>
          <w:numId w:val="2"/>
        </w:numPr>
      </w:pPr>
      <w:r w:rsidRPr="00317760">
        <w:t xml:space="preserve">Review the 2017 paper by Browne et al., </w:t>
      </w:r>
      <w:r w:rsidRPr="00317760">
        <w:rPr>
          <w:i/>
          <w:iCs/>
        </w:rPr>
        <w:t>Semantic Ontologies and Financial Reporting: An Application of the FIBO</w:t>
      </w:r>
      <w:r w:rsidRPr="00317760">
        <w:t xml:space="preserve"> (CEUR Vol. 2050). </w:t>
      </w:r>
    </w:p>
    <w:p w14:paraId="75FF9551" w14:textId="77777777" w:rsidR="00317760" w:rsidRPr="00317760" w:rsidRDefault="00317760" w:rsidP="00317760">
      <w:pPr>
        <w:numPr>
          <w:ilvl w:val="1"/>
          <w:numId w:val="2"/>
        </w:numPr>
      </w:pPr>
      <w:r w:rsidRPr="00317760">
        <w:t xml:space="preserve">Confirm that while GFRO models point-in-time fund reporting and aggregated summaries, it omits an explicit, lightweight pattern linking a dated provider website disclosure directly to source provenance, underlying classification schemes, and category entries. </w:t>
      </w:r>
    </w:p>
    <w:p w14:paraId="69104AB2" w14:textId="77777777" w:rsidR="00317760" w:rsidRPr="00317760" w:rsidRDefault="00317760" w:rsidP="00317760">
      <w:pPr>
        <w:numPr>
          <w:ilvl w:val="1"/>
          <w:numId w:val="2"/>
        </w:numPr>
      </w:pPr>
      <w:r w:rsidRPr="00317760">
        <w:t xml:space="preserve">Document this as a </w:t>
      </w:r>
      <w:r w:rsidRPr="00317760">
        <w:rPr>
          <w:i/>
          <w:iCs/>
        </w:rPr>
        <w:t>specific application/integration gap</w:t>
      </w:r>
      <w:r w:rsidRPr="00317760">
        <w:t xml:space="preserve"> rather than claiming FIBO completely lacks concepts of dates or weights. </w:t>
      </w:r>
    </w:p>
    <w:p w14:paraId="310E7BB0" w14:textId="77777777" w:rsidR="00317760" w:rsidRPr="00317760" w:rsidRDefault="00317760" w:rsidP="00317760">
      <w:pPr>
        <w:rPr>
          <w:b/>
          <w:bCs/>
        </w:rPr>
      </w:pPr>
      <w:r w:rsidRPr="00317760">
        <w:rPr>
          <w:b/>
          <w:bCs/>
        </w:rPr>
        <w:t>3. Review &amp; Co-Author Tasks</w:t>
      </w:r>
    </w:p>
    <w:p w14:paraId="13ABCD6E" w14:textId="77777777" w:rsidR="00317760" w:rsidRPr="00317760" w:rsidRDefault="00317760" w:rsidP="00317760">
      <w:pPr>
        <w:numPr>
          <w:ilvl w:val="0"/>
          <w:numId w:val="3"/>
        </w:numPr>
      </w:pPr>
      <w:r w:rsidRPr="00317760">
        <w:rPr>
          <w:b/>
          <w:bCs/>
        </w:rPr>
        <w:t>Review Taimoor’s Draft ERD:</w:t>
      </w:r>
    </w:p>
    <w:p w14:paraId="40F4BB2B" w14:textId="77777777" w:rsidR="00317760" w:rsidRPr="00317760" w:rsidRDefault="00317760" w:rsidP="00317760">
      <w:pPr>
        <w:numPr>
          <w:ilvl w:val="1"/>
          <w:numId w:val="3"/>
        </w:numPr>
      </w:pPr>
      <w:r w:rsidRPr="00317760">
        <w:t xml:space="preserve">Inspect CSC501_M2_Taimoor_ERD.pdf against your competency questions (CQ1–CQ6). </w:t>
      </w:r>
    </w:p>
    <w:p w14:paraId="07BD4208" w14:textId="77777777" w:rsidR="00317760" w:rsidRPr="00317760" w:rsidRDefault="00317760" w:rsidP="00317760">
      <w:pPr>
        <w:numPr>
          <w:ilvl w:val="1"/>
          <w:numId w:val="3"/>
        </w:numPr>
      </w:pPr>
      <w:r w:rsidRPr="00317760">
        <w:t>Check cardinalities and relationships:</w:t>
      </w:r>
    </w:p>
    <w:p w14:paraId="029AE57B" w14:textId="45E368B6" w:rsidR="00317760" w:rsidRPr="00317760" w:rsidRDefault="00317760" w:rsidP="00317760">
      <w:pPr>
        <w:numPr>
          <w:ilvl w:val="2"/>
          <w:numId w:val="3"/>
        </w:numPr>
      </w:pPr>
      <w:r w:rsidRPr="00317760">
        <w:t xml:space="preserve">ETF </w:t>
      </w:r>
      <m:oMath>
        <m:r>
          <w:rPr>
            <w:rFonts w:ascii="Cambria Math" w:hAnsi="Cambria Math"/>
          </w:rPr>
          <m:t>↔</m:t>
        </m:r>
      </m:oMath>
      <w:r w:rsidRPr="00317760">
        <w:t xml:space="preserve"> AllocationSnapshot (</w:t>
      </w:r>
      <m:oMath>
        <m:r>
          <w:rPr>
            <w:rFonts w:ascii="Cambria Math" w:hAnsi="Cambria Math"/>
          </w:rPr>
          <m:t>1:N</m:t>
        </m:r>
      </m:oMath>
      <w:r w:rsidRPr="00317760">
        <w:t xml:space="preserve">). </w:t>
      </w:r>
    </w:p>
    <w:p w14:paraId="0B62587C" w14:textId="74381628" w:rsidR="00317760" w:rsidRPr="00317760" w:rsidRDefault="00317760" w:rsidP="00317760">
      <w:pPr>
        <w:numPr>
          <w:ilvl w:val="2"/>
          <w:numId w:val="3"/>
        </w:numPr>
      </w:pPr>
      <w:proofErr w:type="spellStart"/>
      <w:r w:rsidRPr="00317760">
        <w:t>AllocationSnapshot</w:t>
      </w:r>
      <w:proofErr w:type="spellEnd"/>
      <w:r w:rsidRPr="00317760">
        <w:t xml:space="preserve"> </w:t>
      </w:r>
      <m:oMath>
        <m:r>
          <w:rPr>
            <w:rFonts w:ascii="Cambria Math" w:hAnsi="Cambria Math"/>
          </w:rPr>
          <m:t>↔</m:t>
        </m:r>
      </m:oMath>
      <w:r w:rsidRPr="00317760">
        <w:t xml:space="preserve"> AllocationEntry (</w:t>
      </w:r>
      <m:oMath>
        <m:r>
          <w:rPr>
            <w:rFonts w:ascii="Cambria Math" w:hAnsi="Cambria Math"/>
          </w:rPr>
          <m:t>1:N</m:t>
        </m:r>
      </m:oMath>
      <w:r w:rsidRPr="00317760">
        <w:t xml:space="preserve">). </w:t>
      </w:r>
    </w:p>
    <w:p w14:paraId="56E93463" w14:textId="3A8F07D4" w:rsidR="00317760" w:rsidRPr="00317760" w:rsidRDefault="00317760" w:rsidP="00317760">
      <w:pPr>
        <w:numPr>
          <w:ilvl w:val="2"/>
          <w:numId w:val="3"/>
        </w:numPr>
      </w:pPr>
      <w:proofErr w:type="spellStart"/>
      <w:r w:rsidRPr="00317760">
        <w:t>AllocationCategory</w:t>
      </w:r>
      <w:proofErr w:type="spellEnd"/>
      <w:r w:rsidRPr="00317760">
        <w:t xml:space="preserve"> </w:t>
      </w:r>
      <m:oMath>
        <m:r>
          <w:rPr>
            <w:rFonts w:ascii="Cambria Math" w:hAnsi="Cambria Math"/>
          </w:rPr>
          <m:t>↔</m:t>
        </m:r>
      </m:oMath>
      <w:r w:rsidRPr="00317760">
        <w:t xml:space="preserve"> ClassificationScheme (</w:t>
      </w:r>
      <m:oMath>
        <m:r>
          <w:rPr>
            <w:rFonts w:ascii="Cambria Math" w:hAnsi="Cambria Math"/>
          </w:rPr>
          <m:t>N:0..1</m:t>
        </m:r>
      </m:oMath>
      <w:r w:rsidRPr="00317760">
        <w:t xml:space="preserve">). </w:t>
      </w:r>
    </w:p>
    <w:p w14:paraId="4B8B924C" w14:textId="43900867" w:rsidR="00317760" w:rsidRPr="00317760" w:rsidRDefault="00317760" w:rsidP="00317760">
      <w:pPr>
        <w:numPr>
          <w:ilvl w:val="2"/>
          <w:numId w:val="3"/>
        </w:numPr>
      </w:pPr>
      <w:proofErr w:type="spellStart"/>
      <w:r w:rsidRPr="00317760">
        <w:t>AllocationSnapshot</w:t>
      </w:r>
      <w:proofErr w:type="spellEnd"/>
      <w:r w:rsidRPr="00317760">
        <w:t xml:space="preserve"> </w:t>
      </w:r>
      <m:oMath>
        <m:r>
          <w:rPr>
            <w:rFonts w:ascii="Cambria Math" w:hAnsi="Cambria Math"/>
          </w:rPr>
          <m:t>↔</m:t>
        </m:r>
      </m:oMath>
      <w:r w:rsidRPr="00317760">
        <w:t xml:space="preserve"> SourceDocument (</w:t>
      </w:r>
      <m:oMath>
        <m:r>
          <w:rPr>
            <w:rFonts w:ascii="Cambria Math" w:hAnsi="Cambria Math"/>
          </w:rPr>
          <m:t>N:1</m:t>
        </m:r>
      </m:oMath>
      <w:r w:rsidRPr="00317760">
        <w:t xml:space="preserve">). </w:t>
      </w:r>
    </w:p>
    <w:p w14:paraId="44783E15" w14:textId="77777777" w:rsidR="00317760" w:rsidRPr="00317760" w:rsidRDefault="00317760" w:rsidP="00317760">
      <w:pPr>
        <w:numPr>
          <w:ilvl w:val="1"/>
          <w:numId w:val="3"/>
        </w:numPr>
      </w:pPr>
      <w:r w:rsidRPr="00317760">
        <w:t xml:space="preserve">Ensure all attributes needed for your later RDF/OWL conversion (e.g., </w:t>
      </w:r>
      <w:proofErr w:type="spellStart"/>
      <w:r w:rsidRPr="00317760">
        <w:t>allocationAsOfDate</w:t>
      </w:r>
      <w:proofErr w:type="spellEnd"/>
      <w:r w:rsidRPr="00317760">
        <w:t xml:space="preserve">, </w:t>
      </w:r>
      <w:proofErr w:type="spellStart"/>
      <w:r w:rsidRPr="00317760">
        <w:t>contextKey</w:t>
      </w:r>
      <w:proofErr w:type="spellEnd"/>
      <w:r w:rsidRPr="00317760">
        <w:t xml:space="preserve">, </w:t>
      </w:r>
      <w:proofErr w:type="spellStart"/>
      <w:r w:rsidRPr="00317760">
        <w:t>sourceLocator</w:t>
      </w:r>
      <w:proofErr w:type="spellEnd"/>
      <w:r w:rsidRPr="00317760">
        <w:t xml:space="preserve">, </w:t>
      </w:r>
      <w:proofErr w:type="spellStart"/>
      <w:r w:rsidRPr="00317760">
        <w:t>retrievedAt</w:t>
      </w:r>
      <w:proofErr w:type="spellEnd"/>
      <w:r w:rsidRPr="00317760">
        <w:t xml:space="preserve">) are present. </w:t>
      </w:r>
    </w:p>
    <w:p w14:paraId="53F2889D" w14:textId="77777777" w:rsidR="00317760" w:rsidRPr="00317760" w:rsidRDefault="00317760" w:rsidP="00317760">
      <w:pPr>
        <w:numPr>
          <w:ilvl w:val="0"/>
          <w:numId w:val="3"/>
        </w:numPr>
      </w:pPr>
      <w:r w:rsidRPr="00317760">
        <w:rPr>
          <w:b/>
          <w:bCs/>
        </w:rPr>
        <w:t>Contribute to the Comparison Table:</w:t>
      </w:r>
    </w:p>
    <w:p w14:paraId="1A6FD8D6" w14:textId="77777777" w:rsidR="00317760" w:rsidRPr="00317760" w:rsidRDefault="00317760" w:rsidP="00317760">
      <w:pPr>
        <w:numPr>
          <w:ilvl w:val="1"/>
          <w:numId w:val="3"/>
        </w:numPr>
      </w:pPr>
      <w:r w:rsidRPr="00317760">
        <w:lastRenderedPageBreak/>
        <w:t xml:space="preserve">Review Mason’s Table 1 draft. </w:t>
      </w:r>
    </w:p>
    <w:p w14:paraId="4FDE4F80" w14:textId="77777777" w:rsidR="00317760" w:rsidRPr="00317760" w:rsidRDefault="00317760" w:rsidP="00317760">
      <w:pPr>
        <w:numPr>
          <w:ilvl w:val="1"/>
          <w:numId w:val="3"/>
        </w:numPr>
      </w:pPr>
      <w:r w:rsidRPr="00317760">
        <w:t>Verify or expand rows for:</w:t>
      </w:r>
    </w:p>
    <w:p w14:paraId="1E9CBF76" w14:textId="77777777" w:rsidR="00317760" w:rsidRPr="00317760" w:rsidRDefault="00317760" w:rsidP="00317760">
      <w:pPr>
        <w:numPr>
          <w:ilvl w:val="2"/>
          <w:numId w:val="3"/>
        </w:numPr>
      </w:pPr>
      <w:r w:rsidRPr="00317760">
        <w:rPr>
          <w:b/>
          <w:bCs/>
        </w:rPr>
        <w:t>FIBO Semantic Ontology:</w:t>
      </w:r>
      <w:r w:rsidRPr="00317760">
        <w:t xml:space="preserve"> Reinforce strengths (formal semantics, extensible) vs. omissions (lacks observation-level disclosure events and factsheet provenance). </w:t>
      </w:r>
    </w:p>
    <w:p w14:paraId="7E69E329" w14:textId="77777777" w:rsidR="00317760" w:rsidRPr="00317760" w:rsidRDefault="00317760" w:rsidP="00317760">
      <w:pPr>
        <w:numPr>
          <w:ilvl w:val="2"/>
          <w:numId w:val="3"/>
        </w:numPr>
      </w:pPr>
      <w:r w:rsidRPr="00317760">
        <w:rPr>
          <w:b/>
          <w:bCs/>
        </w:rPr>
        <w:t>GFRO / Prior Academic Work:</w:t>
      </w:r>
      <w:r w:rsidRPr="00317760">
        <w:t xml:space="preserve"> Add or verify a dedicated row contrasting Browne et al.’s fund ontology with your proposed pattern. </w:t>
      </w:r>
    </w:p>
    <w:p w14:paraId="3F3C9F2B" w14:textId="77777777" w:rsidR="00317760" w:rsidRPr="00317760" w:rsidRDefault="00317760" w:rsidP="00317760">
      <w:pPr>
        <w:numPr>
          <w:ilvl w:val="0"/>
          <w:numId w:val="3"/>
        </w:numPr>
      </w:pPr>
      <w:r w:rsidRPr="00317760">
        <w:rPr>
          <w:b/>
          <w:bCs/>
        </w:rPr>
        <w:t>Cross-Review Report Narrative:</w:t>
      </w:r>
    </w:p>
    <w:p w14:paraId="13B31774" w14:textId="77777777" w:rsidR="00317760" w:rsidRPr="00317760" w:rsidRDefault="00317760" w:rsidP="00317760">
      <w:pPr>
        <w:numPr>
          <w:ilvl w:val="1"/>
          <w:numId w:val="3"/>
        </w:numPr>
      </w:pPr>
      <w:r w:rsidRPr="00317760">
        <w:t xml:space="preserve">Coordinate with Mason and Taimoor during the Tuesday meeting to ensure Mason’s history, your hierarchy, and Taimoor’s ERD description form a single flowing narrative. </w:t>
      </w:r>
    </w:p>
    <w:p w14:paraId="58978705" w14:textId="77777777" w:rsidR="00317760" w:rsidRPr="00317760" w:rsidRDefault="00317760" w:rsidP="00317760">
      <w:pPr>
        <w:rPr>
          <w:b/>
          <w:bCs/>
        </w:rPr>
      </w:pPr>
      <w:r w:rsidRPr="00317760">
        <w:rPr>
          <w:b/>
          <w:bCs/>
        </w:rPr>
        <w:t>4. Git &amp; Submission Compliance Checks</w:t>
      </w:r>
    </w:p>
    <w:p w14:paraId="4823A867" w14:textId="77777777" w:rsidR="00317760" w:rsidRPr="00317760" w:rsidRDefault="00317760" w:rsidP="00317760">
      <w:pPr>
        <w:numPr>
          <w:ilvl w:val="0"/>
          <w:numId w:val="4"/>
        </w:numPr>
      </w:pPr>
      <w:r w:rsidRPr="00317760">
        <w:rPr>
          <w:b/>
          <w:bCs/>
        </w:rPr>
        <w:t>Preserve Original Student Writing:</w:t>
      </w:r>
    </w:p>
    <w:p w14:paraId="1B004C3D" w14:textId="77777777" w:rsidR="00317760" w:rsidRPr="00317760" w:rsidRDefault="00317760" w:rsidP="00317760">
      <w:pPr>
        <w:numPr>
          <w:ilvl w:val="1"/>
          <w:numId w:val="4"/>
        </w:numPr>
      </w:pPr>
      <w:r w:rsidRPr="00317760">
        <w:t xml:space="preserve">Save your raw, unedited written drafts of the hierarchy section and FIBO notes into a standalone file. </w:t>
      </w:r>
    </w:p>
    <w:p w14:paraId="75798B4F" w14:textId="77777777" w:rsidR="00317760" w:rsidRPr="00317760" w:rsidRDefault="00317760" w:rsidP="00317760">
      <w:pPr>
        <w:numPr>
          <w:ilvl w:val="1"/>
          <w:numId w:val="4"/>
        </w:numPr>
      </w:pPr>
      <w:r w:rsidRPr="00317760">
        <w:t xml:space="preserve">Add this text to </w:t>
      </w:r>
      <w:r w:rsidRPr="00317760">
        <w:rPr>
          <w:b/>
          <w:bCs/>
        </w:rPr>
        <w:t>Appendix A / C (AI-Assisted Editing appendix)</w:t>
      </w:r>
      <w:r w:rsidRPr="00317760">
        <w:t xml:space="preserve"> of the LaTeX template as mandated by the course guidelines. </w:t>
      </w:r>
    </w:p>
    <w:p w14:paraId="52E25D05" w14:textId="77777777" w:rsidR="00317760" w:rsidRPr="00317760" w:rsidRDefault="00317760" w:rsidP="00317760">
      <w:pPr>
        <w:numPr>
          <w:ilvl w:val="0"/>
          <w:numId w:val="4"/>
        </w:numPr>
      </w:pPr>
      <w:r w:rsidRPr="00317760">
        <w:rPr>
          <w:b/>
          <w:bCs/>
        </w:rPr>
        <w:t>Git Repository Traceability:</w:t>
      </w:r>
    </w:p>
    <w:p w14:paraId="51176474" w14:textId="77777777" w:rsidR="00317760" w:rsidRPr="00317760" w:rsidRDefault="00317760" w:rsidP="00317760">
      <w:pPr>
        <w:numPr>
          <w:ilvl w:val="1"/>
          <w:numId w:val="4"/>
        </w:numPr>
      </w:pPr>
      <w:r w:rsidRPr="00317760">
        <w:t xml:space="preserve">Push your commits (hierarchy text, figure source files, table edits, notes) directly to your team’s repository (gitlab.uvic.ca or GitHub) using your individual student account to ensure your contribution record is preserved. </w:t>
      </w:r>
    </w:p>
    <w:p w14:paraId="0975959A" w14:textId="77777777" w:rsidR="00317760" w:rsidRPr="00317760" w:rsidRDefault="00317760" w:rsidP="00317760">
      <w:pPr>
        <w:numPr>
          <w:ilvl w:val="0"/>
          <w:numId w:val="4"/>
        </w:numPr>
      </w:pPr>
      <w:r w:rsidRPr="00317760">
        <w:rPr>
          <w:b/>
          <w:bCs/>
        </w:rPr>
        <w:t>LaTeX Layout &amp; Length Verification:</w:t>
      </w:r>
    </w:p>
    <w:p w14:paraId="7EF8F827" w14:textId="77777777" w:rsidR="00317760" w:rsidRPr="00317760" w:rsidRDefault="00317760" w:rsidP="00317760">
      <w:pPr>
        <w:numPr>
          <w:ilvl w:val="1"/>
          <w:numId w:val="4"/>
        </w:numPr>
      </w:pPr>
      <w:r w:rsidRPr="00317760">
        <w:t>Verify that the compiled PDF conforms strictly to:</w:t>
      </w:r>
    </w:p>
    <w:p w14:paraId="3054EDC0" w14:textId="77777777" w:rsidR="00317760" w:rsidRPr="00317760" w:rsidRDefault="00317760" w:rsidP="00317760">
      <w:pPr>
        <w:numPr>
          <w:ilvl w:val="2"/>
          <w:numId w:val="4"/>
        </w:numPr>
      </w:pPr>
      <w:r w:rsidRPr="00317760">
        <w:rPr>
          <w:b/>
          <w:bCs/>
        </w:rPr>
        <w:t>Pages 1–2:</w:t>
      </w:r>
      <w:r w:rsidRPr="00317760">
        <w:t xml:space="preserve"> Written text, hierarchy figure, comparative table, references (ACM two-column </w:t>
      </w:r>
      <w:proofErr w:type="spellStart"/>
      <w:r w:rsidRPr="00317760">
        <w:t>sigconf</w:t>
      </w:r>
      <w:proofErr w:type="spellEnd"/>
      <w:r w:rsidRPr="00317760">
        <w:t xml:space="preserve"> format). </w:t>
      </w:r>
    </w:p>
    <w:p w14:paraId="4531A2B6" w14:textId="77777777" w:rsidR="00317760" w:rsidRPr="00317760" w:rsidRDefault="00317760" w:rsidP="00317760">
      <w:pPr>
        <w:numPr>
          <w:ilvl w:val="2"/>
          <w:numId w:val="4"/>
        </w:numPr>
      </w:pPr>
      <w:r w:rsidRPr="00317760">
        <w:rPr>
          <w:b/>
          <w:bCs/>
        </w:rPr>
        <w:t>Page 3:</w:t>
      </w:r>
      <w:r w:rsidRPr="00317760">
        <w:t xml:space="preserve"> Dedicated one-page draft ER diagram and caption. </w:t>
      </w:r>
    </w:p>
    <w:p w14:paraId="1C3BF04B" w14:textId="77777777" w:rsidR="00317760" w:rsidRPr="00317760" w:rsidRDefault="00317760" w:rsidP="00317760">
      <w:pPr>
        <w:numPr>
          <w:ilvl w:val="2"/>
          <w:numId w:val="4"/>
        </w:numPr>
      </w:pPr>
      <w:r w:rsidRPr="00317760">
        <w:rPr>
          <w:b/>
          <w:bCs/>
        </w:rPr>
        <w:t>Following Pages:</w:t>
      </w:r>
      <w:r w:rsidRPr="00317760">
        <w:t xml:space="preserve"> Appendix containing raw student drafts. </w:t>
      </w:r>
    </w:p>
    <w:p w14:paraId="427E2E5C" w14:textId="77777777" w:rsidR="00317760" w:rsidRPr="00317760" w:rsidRDefault="00317760" w:rsidP="00317760">
      <w:pPr>
        <w:numPr>
          <w:ilvl w:val="1"/>
          <w:numId w:val="4"/>
        </w:numPr>
      </w:pPr>
      <w:r w:rsidRPr="00317760">
        <w:t xml:space="preserve">Ensure graduate students are ordered properly in the author list as specified by the manual. </w:t>
      </w:r>
    </w:p>
    <w:p w14:paraId="7DC55357" w14:textId="77777777" w:rsidR="00317760" w:rsidRPr="00317760" w:rsidRDefault="00317760" w:rsidP="00317760">
      <w:pPr>
        <w:numPr>
          <w:ilvl w:val="0"/>
          <w:numId w:val="4"/>
        </w:numPr>
      </w:pPr>
      <w:r w:rsidRPr="00317760">
        <w:rPr>
          <w:b/>
          <w:bCs/>
        </w:rPr>
        <w:lastRenderedPageBreak/>
        <w:t>Packaging:</w:t>
      </w:r>
    </w:p>
    <w:p w14:paraId="161B1B3B" w14:textId="77777777" w:rsidR="00317760" w:rsidRPr="00317760" w:rsidRDefault="00317760" w:rsidP="00317760">
      <w:pPr>
        <w:numPr>
          <w:ilvl w:val="1"/>
          <w:numId w:val="4"/>
        </w:numPr>
      </w:pPr>
      <w:r w:rsidRPr="00317760">
        <w:t>Confirm the final archive is zipped as 2_Background_firstname1_firstname2_[...].zip containing all .</w:t>
      </w:r>
      <w:proofErr w:type="spellStart"/>
      <w:r w:rsidRPr="00317760">
        <w:t>tex</w:t>
      </w:r>
      <w:proofErr w:type="spellEnd"/>
      <w:proofErr w:type="gramStart"/>
      <w:r w:rsidRPr="00317760">
        <w:t>, .bib</w:t>
      </w:r>
      <w:proofErr w:type="gramEnd"/>
      <w:r w:rsidRPr="00317760">
        <w:t>, figure files, and the compiled 3-page PDF (+ appendix) before the October 7 deadline</w:t>
      </w:r>
    </w:p>
    <w:p w14:paraId="7FF0C664" w14:textId="77777777" w:rsidR="00317760" w:rsidRPr="00317760" w:rsidRDefault="00317760" w:rsidP="00317760"/>
    <w:sectPr w:rsidR="00317760" w:rsidRPr="00317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8D9"/>
    <w:multiLevelType w:val="multilevel"/>
    <w:tmpl w:val="845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F12BD"/>
    <w:multiLevelType w:val="multilevel"/>
    <w:tmpl w:val="04CA0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61161"/>
    <w:multiLevelType w:val="multilevel"/>
    <w:tmpl w:val="B3321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053C38"/>
    <w:multiLevelType w:val="multilevel"/>
    <w:tmpl w:val="C1EE7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A6233"/>
    <w:multiLevelType w:val="multilevel"/>
    <w:tmpl w:val="EF10F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01D13"/>
    <w:multiLevelType w:val="multilevel"/>
    <w:tmpl w:val="56D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7732">
    <w:abstractNumId w:val="1"/>
  </w:num>
  <w:num w:numId="2" w16cid:durableId="1238172049">
    <w:abstractNumId w:val="3"/>
  </w:num>
  <w:num w:numId="3" w16cid:durableId="791290922">
    <w:abstractNumId w:val="2"/>
  </w:num>
  <w:num w:numId="4" w16cid:durableId="2067676985">
    <w:abstractNumId w:val="4"/>
  </w:num>
  <w:num w:numId="5" w16cid:durableId="883755938">
    <w:abstractNumId w:val="5"/>
  </w:num>
  <w:num w:numId="6" w16cid:durableId="142102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9C2"/>
    <w:rsid w:val="000119C2"/>
    <w:rsid w:val="0030728C"/>
    <w:rsid w:val="00317760"/>
    <w:rsid w:val="005A685D"/>
    <w:rsid w:val="00734E0E"/>
    <w:rsid w:val="008610AE"/>
    <w:rsid w:val="00941EEA"/>
    <w:rsid w:val="00B20D80"/>
    <w:rsid w:val="00B53F02"/>
    <w:rsid w:val="00EA07AE"/>
    <w:rsid w:val="00F61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4BEBB"/>
  <w15:chartTrackingRefBased/>
  <w15:docId w15:val="{84E066FD-0F01-4670-A55E-703E58C64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C2"/>
    <w:rPr>
      <w:rFonts w:eastAsiaTheme="majorEastAsia" w:cstheme="majorBidi"/>
      <w:color w:val="272727" w:themeColor="text1" w:themeTint="D8"/>
    </w:rPr>
  </w:style>
  <w:style w:type="paragraph" w:styleId="Title">
    <w:name w:val="Title"/>
    <w:basedOn w:val="Normal"/>
    <w:next w:val="Normal"/>
    <w:link w:val="TitleChar"/>
    <w:uiPriority w:val="10"/>
    <w:qFormat/>
    <w:rsid w:val="00011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9C2"/>
    <w:pPr>
      <w:spacing w:before="160"/>
      <w:jc w:val="center"/>
    </w:pPr>
    <w:rPr>
      <w:i/>
      <w:iCs/>
      <w:color w:val="404040" w:themeColor="text1" w:themeTint="BF"/>
    </w:rPr>
  </w:style>
  <w:style w:type="character" w:customStyle="1" w:styleId="QuoteChar">
    <w:name w:val="Quote Char"/>
    <w:basedOn w:val="DefaultParagraphFont"/>
    <w:link w:val="Quote"/>
    <w:uiPriority w:val="29"/>
    <w:rsid w:val="000119C2"/>
    <w:rPr>
      <w:i/>
      <w:iCs/>
      <w:color w:val="404040" w:themeColor="text1" w:themeTint="BF"/>
    </w:rPr>
  </w:style>
  <w:style w:type="paragraph" w:styleId="ListParagraph">
    <w:name w:val="List Paragraph"/>
    <w:basedOn w:val="Normal"/>
    <w:uiPriority w:val="34"/>
    <w:qFormat/>
    <w:rsid w:val="000119C2"/>
    <w:pPr>
      <w:ind w:left="720"/>
      <w:contextualSpacing/>
    </w:pPr>
  </w:style>
  <w:style w:type="character" w:styleId="IntenseEmphasis">
    <w:name w:val="Intense Emphasis"/>
    <w:basedOn w:val="DefaultParagraphFont"/>
    <w:uiPriority w:val="21"/>
    <w:qFormat/>
    <w:rsid w:val="000119C2"/>
    <w:rPr>
      <w:i/>
      <w:iCs/>
      <w:color w:val="0F4761" w:themeColor="accent1" w:themeShade="BF"/>
    </w:rPr>
  </w:style>
  <w:style w:type="paragraph" w:styleId="IntenseQuote">
    <w:name w:val="Intense Quote"/>
    <w:basedOn w:val="Normal"/>
    <w:next w:val="Normal"/>
    <w:link w:val="IntenseQuoteChar"/>
    <w:uiPriority w:val="30"/>
    <w:qFormat/>
    <w:rsid w:val="00011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9C2"/>
    <w:rPr>
      <w:i/>
      <w:iCs/>
      <w:color w:val="0F4761" w:themeColor="accent1" w:themeShade="BF"/>
    </w:rPr>
  </w:style>
  <w:style w:type="character" w:styleId="IntenseReference">
    <w:name w:val="Intense Reference"/>
    <w:basedOn w:val="DefaultParagraphFont"/>
    <w:uiPriority w:val="32"/>
    <w:qFormat/>
    <w:rsid w:val="00011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1828</Words>
  <Characters>10422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shahmeer ather</dc:creator>
  <cp:keywords/>
  <dc:description/>
  <cp:lastModifiedBy>shahmeer ather</cp:lastModifiedBy>
  <cp:revision>4</cp:revision>
  <dcterms:created xsi:type="dcterms:W3CDTF">2026-10-06T13:56:00Z</dcterms:created>
  <dcterms:modified xsi:type="dcterms:W3CDTF">2026-10-06T14:39:00Z</dcterms:modified>
</cp:coreProperties>
</file>