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2839D" w14:textId="77777777" w:rsidR="00502CCD" w:rsidRPr="00502CCD" w:rsidRDefault="00502CCD" w:rsidP="00502CCD">
      <w:r w:rsidRPr="00502CCD">
        <w:rPr>
          <w:b/>
          <w:bCs/>
        </w:rPr>
        <w:t>Abstract</w:t>
      </w:r>
    </w:p>
    <w:p w14:paraId="2A900F2E" w14:textId="77777777" w:rsidR="00502CCD" w:rsidRPr="00502CCD" w:rsidRDefault="00502CCD" w:rsidP="00502CCD">
      <w:r w:rsidRPr="00502CCD">
        <w:t>Exchange-traded fund (ETF) providers publish sector and geographic allocation percentages, but differences in identifiers, dates and classifications make this information difficult to combine and trace. We review regulatory representations, provider disclosures, commercial databases and semantic models, including the Financial Industry Business Ontology (FIBO). Based on this comparison, we propose a draft conceptual model connecting each dated ETF allocation disclosure to its percentage entries, categories, classification context and captured source. The model separates a customer’s portfolio holdings from the allocations reported by fund providers. Our proposed contribution is a lightweight FIBO application pattern for preserving this disclosure context, providing a foundation for later relational and semantic representations.</w:t>
      </w:r>
    </w:p>
    <w:p w14:paraId="094E8DA7" w14:textId="77777777" w:rsidR="00502CCD" w:rsidRPr="00502CCD" w:rsidRDefault="00502CCD" w:rsidP="00502CCD">
      <w:r w:rsidRPr="00502CCD">
        <w:rPr>
          <w:b/>
          <w:bCs/>
        </w:rPr>
        <w:t>1 Introduction</w:t>
      </w:r>
    </w:p>
    <w:p w14:paraId="259CE835" w14:textId="77777777" w:rsidR="00502CCD" w:rsidRPr="00502CCD" w:rsidRDefault="00502CCD" w:rsidP="00502CCD">
      <w:r w:rsidRPr="00502CCD">
        <w:t xml:space="preserve">Consider a bank customer who transfers some savings into an investment account and purchases exchange-traded funds (ETFs). An ETF is an investment fund whose units trade on a stock </w:t>
      </w:r>
      <w:proofErr w:type="gramStart"/>
      <w:r w:rsidRPr="00502CCD">
        <w:t>exchange</w:t>
      </w:r>
      <w:proofErr w:type="gramEnd"/>
      <w:r w:rsidRPr="00502CCD">
        <w:t xml:space="preserve"> and which holds a collection of assets, such as company shares. The customer’s investments form a portfolio. Although the bank records which ETFs the customer owns, an analyst may also need to explain the industries and countries represented within those funds.</w:t>
      </w:r>
    </w:p>
    <w:p w14:paraId="0F84F700" w14:textId="77777777" w:rsidR="00502CCD" w:rsidRPr="00502CCD" w:rsidRDefault="00502CCD" w:rsidP="00502CCD">
      <w:r w:rsidRPr="00502CCD">
        <w:t>ETF providers publish allocation summaries showing the percentage associated with each sector or geographic category. However, a value such as “30% technology” needs its fund, observation date, classification context and source to be understood correctly. Different reporting dates or similar category labels can make percentages unsuitable for direct comparison. The customer’s holding date may also differ from the date of the provider’s disclosure.</w:t>
      </w:r>
    </w:p>
    <w:p w14:paraId="7B0461E2" w14:textId="77777777" w:rsidR="00502CCD" w:rsidRPr="00502CCD" w:rsidRDefault="00502CCD" w:rsidP="00502CCD">
      <w:r w:rsidRPr="00502CCD">
        <w:t>FIBO provides a shared vocabulary for financial concepts (EDM Council, 2026), and earlier FIBO-based research already demonstrates dated fund reporting and allocation summaries (Browne et al., 2017). Building on these representations, we investigate a small application pattern that explicitly connects an observed ETF allocation disclosure to its entries and supporting context. This milestone reviews existing representations and develops a draft ER diagram. The project uses one or two fictional portfolios, two or three ETFs, and public Vanguard and BlackRock summaries. Later stages will compare relational and semantic representations through questions about exposure, identity, source traceability and outdated observations. Investment recommendations, machine learning and risk analysis remain outside the scope.</w:t>
      </w:r>
    </w:p>
    <w:p w14:paraId="5230E3F9" w14:textId="77777777" w:rsidR="006C2C25" w:rsidRDefault="006C2C25"/>
    <w:sectPr w:rsidR="006C2C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A7A"/>
    <w:rsid w:val="002C4FE4"/>
    <w:rsid w:val="004D65C4"/>
    <w:rsid w:val="00502CCD"/>
    <w:rsid w:val="00560CE9"/>
    <w:rsid w:val="00631DAA"/>
    <w:rsid w:val="006C2C25"/>
    <w:rsid w:val="009B3F8D"/>
    <w:rsid w:val="00A66A7A"/>
    <w:rsid w:val="00C7102C"/>
    <w:rsid w:val="00F926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BDECFB-1468-4016-8416-B1106E426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26F6"/>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semiHidden/>
    <w:unhideWhenUsed/>
    <w:qFormat/>
    <w:rsid w:val="00A66A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6A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A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6A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A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A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A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A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6F6"/>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semiHidden/>
    <w:rsid w:val="00A66A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6A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A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6A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A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A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A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A7A"/>
    <w:rPr>
      <w:rFonts w:eastAsiaTheme="majorEastAsia" w:cstheme="majorBidi"/>
      <w:color w:val="272727" w:themeColor="text1" w:themeTint="D8"/>
    </w:rPr>
  </w:style>
  <w:style w:type="paragraph" w:styleId="Title">
    <w:name w:val="Title"/>
    <w:basedOn w:val="Normal"/>
    <w:next w:val="Normal"/>
    <w:link w:val="TitleChar"/>
    <w:uiPriority w:val="10"/>
    <w:qFormat/>
    <w:rsid w:val="00A66A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A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A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A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A7A"/>
    <w:pPr>
      <w:spacing w:before="160"/>
      <w:jc w:val="center"/>
    </w:pPr>
    <w:rPr>
      <w:i/>
      <w:iCs/>
      <w:color w:val="404040" w:themeColor="text1" w:themeTint="BF"/>
    </w:rPr>
  </w:style>
  <w:style w:type="character" w:customStyle="1" w:styleId="QuoteChar">
    <w:name w:val="Quote Char"/>
    <w:basedOn w:val="DefaultParagraphFont"/>
    <w:link w:val="Quote"/>
    <w:uiPriority w:val="29"/>
    <w:rsid w:val="00A66A7A"/>
    <w:rPr>
      <w:i/>
      <w:iCs/>
      <w:color w:val="404040" w:themeColor="text1" w:themeTint="BF"/>
    </w:rPr>
  </w:style>
  <w:style w:type="paragraph" w:styleId="ListParagraph">
    <w:name w:val="List Paragraph"/>
    <w:basedOn w:val="Normal"/>
    <w:uiPriority w:val="34"/>
    <w:qFormat/>
    <w:rsid w:val="00A66A7A"/>
    <w:pPr>
      <w:ind w:left="720"/>
      <w:contextualSpacing/>
    </w:pPr>
  </w:style>
  <w:style w:type="character" w:styleId="IntenseEmphasis">
    <w:name w:val="Intense Emphasis"/>
    <w:basedOn w:val="DefaultParagraphFont"/>
    <w:uiPriority w:val="21"/>
    <w:qFormat/>
    <w:rsid w:val="00A66A7A"/>
    <w:rPr>
      <w:i/>
      <w:iCs/>
      <w:color w:val="0F4761" w:themeColor="accent1" w:themeShade="BF"/>
    </w:rPr>
  </w:style>
  <w:style w:type="paragraph" w:styleId="IntenseQuote">
    <w:name w:val="Intense Quote"/>
    <w:basedOn w:val="Normal"/>
    <w:next w:val="Normal"/>
    <w:link w:val="IntenseQuoteChar"/>
    <w:uiPriority w:val="30"/>
    <w:qFormat/>
    <w:rsid w:val="00A66A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A7A"/>
    <w:rPr>
      <w:i/>
      <w:iCs/>
      <w:color w:val="0F4761" w:themeColor="accent1" w:themeShade="BF"/>
    </w:rPr>
  </w:style>
  <w:style w:type="character" w:styleId="IntenseReference">
    <w:name w:val="Intense Reference"/>
    <w:basedOn w:val="DefaultParagraphFont"/>
    <w:uiPriority w:val="32"/>
    <w:qFormat/>
    <w:rsid w:val="00A66A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386</Words>
  <Characters>2204</Characters>
  <Application>Microsoft Office Word</Application>
  <DocSecurity>0</DocSecurity>
  <Lines>18</Lines>
  <Paragraphs>5</Paragraphs>
  <ScaleCrop>false</ScaleCrop>
  <Company/>
  <LinksUpToDate>false</LinksUpToDate>
  <CharactersWithSpaces>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Taimoor Shahzad</dc:creator>
  <cp:keywords/>
  <dc:description/>
  <cp:lastModifiedBy>Taimoor Shahzad</cp:lastModifiedBy>
  <cp:revision>2</cp:revision>
  <dcterms:created xsi:type="dcterms:W3CDTF">2026-10-07T05:07:00Z</dcterms:created>
  <dcterms:modified xsi:type="dcterms:W3CDTF">2026-10-07T05:07:00Z</dcterms:modified>
</cp:coreProperties>
</file>