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3CD5" w14:textId="77777777" w:rsidR="00192C6B" w:rsidRDefault="00192C6B" w:rsidP="00192C6B">
      <w:pPr>
        <w:pStyle w:val="Title"/>
      </w:pPr>
      <w:r>
        <w:t>ETF allocation model contribution</w:t>
      </w:r>
    </w:p>
    <w:p w14:paraId="23A67FD6" w14:textId="573D2F97" w:rsidR="00192C6B" w:rsidRDefault="00192C6B" w:rsidP="00192C6B">
      <w:pPr>
        <w:pStyle w:val="Subtitle"/>
      </w:pPr>
      <w:r>
        <w:t>Taimoor | CSC501 Milestone 2 | 5 October 2026</w:t>
      </w:r>
    </w:p>
    <w:p w14:paraId="45830105" w14:textId="77777777" w:rsidR="00192C6B" w:rsidRDefault="00192C6B" w:rsidP="00192C6B">
      <w:r>
        <w:t>This contribution contains the draft ER diagram explanation and the design notes for our team review. The report text below can be combined with Mason and Shahmeer's sections. The separate one-page ERD is intended for the diagram page; the supporting notes are not all part of the three-page main report.</w:t>
      </w:r>
    </w:p>
    <w:p w14:paraId="4DCAF335" w14:textId="77777777" w:rsidR="00192C6B" w:rsidRDefault="00192C6B" w:rsidP="00192C6B">
      <w:pPr>
        <w:pStyle w:val="Heading1"/>
      </w:pPr>
      <w:r>
        <w:t>Draft text for the report</w:t>
      </w:r>
    </w:p>
    <w:p w14:paraId="7DE122A6" w14:textId="77777777" w:rsidR="00192C6B" w:rsidRDefault="00192C6B" w:rsidP="00192C6B">
      <w:r>
        <w:t>Our draft ER diagram starts with a customer and their investment portfolio, which is the collection of investments they own. A Holding connects a Portfolio to an ETF, a fund traded on a stock exchange, and records its portfolio weight and observation date. This separates the customer's investment mix from the allocation reported for each fund. ETFIdentifier also stores the identifier scheme and, where needed, exchange context, so we do not rely on a ticker alone to identify an ETF.</w:t>
      </w:r>
    </w:p>
    <w:p w14:paraId="40FB37CF" w14:textId="77777777" w:rsidR="00192C6B" w:rsidRDefault="00192C6B" w:rsidP="00192C6B">
      <w:r>
        <w:t>The main refinement is AllocationSnapshot. Each snapshot describes one ETF, one date and one allocation dimension, either sector or geography. It contains AllocationEntry records, each connecting a category to its disclosed percentage. A new observation creates a new snapshot rather than replacing the previous percentages. SourceDocument records the captured provider document or webpage, its URL and retrieval time. ClassificationScheme gives categories their stated classification context, when the source provides it. Keeping the allocation basis and coverage notes also helps us interpret disclosures that exclude cash or show only part of a fund [4, 5].</w:t>
      </w:r>
    </w:p>
    <w:p w14:paraId="0098E3A2" w14:textId="77777777" w:rsidR="00192C6B" w:rsidRDefault="00192C6B" w:rsidP="00192C6B">
      <w:r>
        <w:t>FIBO provides relevant building blocks, but their meaning needs care. Its fund-classification concepts describe the type of fund, and definesAllocations links investment policy to allocation limitations [1]. We therefore represent a published allocation as an observation, rather than as a policy. FIBO's weighted-basket and date concepts are also candidates for reuse, subject to their ontology restrictions [2, 3]. Browne et al. already demonstrate FIBO-based reporting of dated fund information and allocation summaries [6]. Our proposed contribution is narrower: an explicit pattern connecting a provider-published ETF allocation to its date, entries, categories, classification context and source. This is a proposed integration gap, not a claim that FIBO lacks weights or dates.</w:t>
      </w:r>
    </w:p>
    <w:p w14:paraId="046172C1" w14:textId="77777777" w:rsidR="00192C6B" w:rsidRDefault="00192C6B" w:rsidP="00192C6B">
      <w:r>
        <w:t>The model supports portfolio exposure estimates by combining holding weights with compatible disclosed category weights. The result should retain the selected snapshot dates and sources. We will evaluate the later relational and semantic versions with the same competency questions, using one or two fictional portfolios and two or three ETFs. Full holdings reconstruction, return prediction and portfolio optimisation remain outside this project.</w:t>
      </w:r>
    </w:p>
    <w:p w14:paraId="297C12BC" w14:textId="77777777" w:rsidR="00192C6B" w:rsidRDefault="00192C6B" w:rsidP="00192C6B">
      <w:pPr>
        <w:pStyle w:val="Heading1"/>
      </w:pPr>
      <w:r>
        <w:t>Suggested figure caption</w:t>
      </w:r>
    </w:p>
    <w:p w14:paraId="17E77340" w14:textId="77777777" w:rsidR="00192C6B" w:rsidRDefault="00192C6B" w:rsidP="00192C6B">
      <w:r>
        <w:t>Draft conceptual ER diagram for dated ETF allocation disclosures. Holding records the customer's ETF weight at a portfolio observation date; AllocationSnapshot records a provider's disclosure date. The disclosure pattern connects an ETF, source, dimension, entries and category context. Cardinalities describe the small course dataset and are not final OWL restrictions.</w:t>
      </w:r>
    </w:p>
    <w:p w14:paraId="253D143D" w14:textId="77777777" w:rsidR="00192C6B" w:rsidRDefault="00192C6B" w:rsidP="00192C6B">
      <w:pPr>
        <w:pStyle w:val="Heading1"/>
        <w:pageBreakBefore/>
      </w:pPr>
      <w:r>
        <w:lastRenderedPageBreak/>
        <w:t>Entity meanings and relationships</w:t>
      </w:r>
    </w:p>
    <w:p w14:paraId="333E29E9" w14:textId="77777777" w:rsidR="00192C6B" w:rsidRDefault="00192C6B" w:rsidP="00192C6B">
      <w:r>
        <w:t>The diagram is conceptual. Each box shows a record identifier and the attributes needed for our questions. Foreign keys, implementation types and the final OWL class mappings come later. The relationship list also fixes how to read the endpoint cardinalities.</w:t>
      </w:r>
    </w:p>
    <w:tbl>
      <w:tblPr>
        <w:tblW w:w="0" w:type="auto"/>
        <w:jc w:val="center"/>
        <w:tblLayout w:type="fixed"/>
        <w:tblLook w:val="04A0" w:firstRow="1" w:lastRow="0" w:firstColumn="1" w:lastColumn="0" w:noHBand="0" w:noVBand="1"/>
      </w:tblPr>
      <w:tblGrid>
        <w:gridCol w:w="2592"/>
        <w:gridCol w:w="7488"/>
      </w:tblGrid>
      <w:tr w:rsidR="00192C6B" w14:paraId="7B9DCC72" w14:textId="77777777" w:rsidTr="00D1100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72DAA53F" w14:textId="77777777" w:rsidR="00192C6B" w:rsidRDefault="00192C6B" w:rsidP="00D11007">
            <w:pPr>
              <w:spacing w:after="40" w:line="240" w:lineRule="auto"/>
            </w:pPr>
            <w:r>
              <w:rPr>
                <w:b/>
                <w:sz w:val="20"/>
              </w:rPr>
              <w:t>Relationship</w:t>
            </w:r>
          </w:p>
        </w:tc>
        <w:tc>
          <w:tcPr>
            <w:tcW w:w="7488"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49026307" w14:textId="77777777" w:rsidR="00192C6B" w:rsidRDefault="00192C6B" w:rsidP="00D11007">
            <w:pPr>
              <w:spacing w:after="40" w:line="240" w:lineRule="auto"/>
            </w:pPr>
            <w:r>
              <w:rPr>
                <w:b/>
                <w:sz w:val="20"/>
              </w:rPr>
              <w:t>Cardinality and meaning</w:t>
            </w:r>
          </w:p>
        </w:tc>
      </w:tr>
      <w:tr w:rsidR="00192C6B" w14:paraId="3B9E50C4"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B92780" w14:textId="77777777" w:rsidR="00192C6B" w:rsidRDefault="00192C6B" w:rsidP="00D11007">
            <w:pPr>
              <w:spacing w:after="40" w:line="240" w:lineRule="auto"/>
            </w:pPr>
            <w:r>
              <w:rPr>
                <w:sz w:val="20"/>
              </w:rPr>
              <w:t>Customer to Portfolio</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D3D88" w14:textId="77777777" w:rsidR="00192C6B" w:rsidRDefault="00192C6B" w:rsidP="00D11007">
            <w:pPr>
              <w:spacing w:after="40" w:line="240" w:lineRule="auto"/>
            </w:pPr>
            <w:r>
              <w:rPr>
                <w:sz w:val="20"/>
              </w:rPr>
              <w:t>One customer owns zero or more portfolios; each portfolio has one owner. Sole ownership is enough for the fictional examples.</w:t>
            </w:r>
          </w:p>
        </w:tc>
      </w:tr>
      <w:tr w:rsidR="00192C6B" w14:paraId="7901F41C"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8D382F" w14:textId="77777777" w:rsidR="00192C6B" w:rsidRDefault="00192C6B" w:rsidP="00D11007">
            <w:pPr>
              <w:spacing w:after="40" w:line="240" w:lineRule="auto"/>
            </w:pPr>
            <w:r>
              <w:rPr>
                <w:sz w:val="20"/>
              </w:rPr>
              <w:t>Portfolio and ETF through Holding</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B139C5" w14:textId="77777777" w:rsidR="00192C6B" w:rsidRDefault="00192C6B" w:rsidP="00D11007">
            <w:pPr>
              <w:spacing w:after="40" w:line="240" w:lineRule="auto"/>
            </w:pPr>
            <w:r>
              <w:rPr>
                <w:sz w:val="20"/>
              </w:rPr>
              <w:t>Each holding belongs to one portfolio and refers to one ETF; either can have zero or more holdings. A holding is one dated observation of an ETF's portfolio weight, not a trade.</w:t>
            </w:r>
          </w:p>
        </w:tc>
      </w:tr>
      <w:tr w:rsidR="00192C6B" w14:paraId="7768BA1B"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FEC331" w14:textId="77777777" w:rsidR="00192C6B" w:rsidRDefault="00192C6B" w:rsidP="00D11007">
            <w:pPr>
              <w:spacing w:after="40" w:line="240" w:lineRule="auto"/>
            </w:pPr>
            <w:r>
              <w:rPr>
                <w:sz w:val="20"/>
              </w:rPr>
              <w:t>ETF to ETFIdentifier</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9313BA" w14:textId="77777777" w:rsidR="00192C6B" w:rsidRDefault="00192C6B" w:rsidP="00D11007">
            <w:pPr>
              <w:spacing w:after="40" w:line="240" w:lineRule="auto"/>
            </w:pPr>
            <w:r>
              <w:rPr>
                <w:sz w:val="20"/>
              </w:rPr>
              <w:t>Each ETF has one or more identifiers; each identifier record identifies one ETF. Scheme, value and required exchange context determine identity.</w:t>
            </w:r>
          </w:p>
        </w:tc>
      </w:tr>
      <w:tr w:rsidR="00192C6B" w14:paraId="52E48EDA"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B8A19C" w14:textId="77777777" w:rsidR="00192C6B" w:rsidRDefault="00192C6B" w:rsidP="00D11007">
            <w:pPr>
              <w:spacing w:after="40" w:line="240" w:lineRule="auto"/>
            </w:pPr>
            <w:r>
              <w:rPr>
                <w:sz w:val="20"/>
              </w:rPr>
              <w:t>ETFProvider to ETF</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1CA4A1" w14:textId="77777777" w:rsidR="00192C6B" w:rsidRDefault="00192C6B" w:rsidP="00D11007">
            <w:pPr>
              <w:spacing w:after="40" w:line="240" w:lineRule="auto"/>
            </w:pPr>
            <w:r>
              <w:rPr>
                <w:sz w:val="20"/>
              </w:rPr>
              <w:t>A provider offers zero or more ETFs; each sampled ETF has one provider. Use the verified provider name. Do not infer the legal issuer or investment manager from the brand.</w:t>
            </w:r>
          </w:p>
        </w:tc>
      </w:tr>
      <w:tr w:rsidR="00192C6B" w14:paraId="5A27D4A9"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91D49" w14:textId="77777777" w:rsidR="00192C6B" w:rsidRDefault="00192C6B" w:rsidP="00D11007">
            <w:pPr>
              <w:spacing w:after="40" w:line="240" w:lineRule="auto"/>
            </w:pPr>
            <w:r>
              <w:rPr>
                <w:sz w:val="20"/>
              </w:rPr>
              <w:t>ETF to AllocationSnapshot</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F53611" w14:textId="77777777" w:rsidR="00192C6B" w:rsidRDefault="00192C6B" w:rsidP="00D11007">
            <w:pPr>
              <w:spacing w:after="40" w:line="240" w:lineRule="auto"/>
            </w:pPr>
            <w:r>
              <w:rPr>
                <w:sz w:val="20"/>
              </w:rPr>
              <w:t>Each ETF has zero or more snapshots; each snapshot describes one ETF. Sector and geography observations are separate snapshots.</w:t>
            </w:r>
          </w:p>
        </w:tc>
      </w:tr>
      <w:tr w:rsidR="00192C6B" w14:paraId="38B63BBE"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1630DC" w14:textId="77777777" w:rsidR="00192C6B" w:rsidRDefault="00192C6B" w:rsidP="00D11007">
            <w:pPr>
              <w:spacing w:after="40" w:line="240" w:lineRule="auto"/>
            </w:pPr>
            <w:r>
              <w:rPr>
                <w:sz w:val="20"/>
              </w:rPr>
              <w:t>AllocationDimension to AllocationSnapshot</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5D4893" w14:textId="77777777" w:rsidR="00192C6B" w:rsidRDefault="00192C6B" w:rsidP="00D11007">
            <w:pPr>
              <w:spacing w:after="40" w:line="240" w:lineRule="auto"/>
            </w:pPr>
            <w:r>
              <w:rPr>
                <w:sz w:val="20"/>
              </w:rPr>
              <w:t>Each snapshot has one dimension; a dimension has zero or more snapshots. The two dimension values are sector and geography.</w:t>
            </w:r>
          </w:p>
        </w:tc>
      </w:tr>
      <w:tr w:rsidR="00192C6B" w14:paraId="4C3F6C5E"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1ECA1B" w14:textId="77777777" w:rsidR="00192C6B" w:rsidRDefault="00192C6B" w:rsidP="00D11007">
            <w:pPr>
              <w:spacing w:after="40" w:line="240" w:lineRule="auto"/>
            </w:pPr>
            <w:r>
              <w:rPr>
                <w:sz w:val="20"/>
              </w:rPr>
              <w:t>AllocationSnapshot to AllocationEntry</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3C3EBB" w14:textId="77777777" w:rsidR="00192C6B" w:rsidRDefault="00192C6B" w:rsidP="00D11007">
            <w:pPr>
              <w:spacing w:after="40" w:line="240" w:lineRule="auto"/>
            </w:pPr>
            <w:r>
              <w:rPr>
                <w:sz w:val="20"/>
              </w:rPr>
              <w:t>Each accepted snapshot contains one or more entries; each entry belongs to one snapshot. An entry stores one disclosed category percentage.</w:t>
            </w:r>
          </w:p>
        </w:tc>
      </w:tr>
      <w:tr w:rsidR="00192C6B" w14:paraId="275A7A50"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2D2339" w14:textId="77777777" w:rsidR="00192C6B" w:rsidRDefault="00192C6B" w:rsidP="00D11007">
            <w:pPr>
              <w:spacing w:after="40" w:line="240" w:lineRule="auto"/>
            </w:pPr>
            <w:r>
              <w:rPr>
                <w:sz w:val="20"/>
              </w:rPr>
              <w:t>AllocationCategory to AllocationEntry</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AD09B7" w14:textId="77777777" w:rsidR="00192C6B" w:rsidRDefault="00192C6B" w:rsidP="00D11007">
            <w:pPr>
              <w:spacing w:after="40" w:line="240" w:lineRule="auto"/>
            </w:pPr>
            <w:r>
              <w:rPr>
                <w:sz w:val="20"/>
              </w:rPr>
              <w:t>Each entry uses one category; a category can be reused in zero or more entries. Reused categories must have the same meaning and classification context.</w:t>
            </w:r>
          </w:p>
        </w:tc>
      </w:tr>
      <w:tr w:rsidR="00192C6B" w14:paraId="17B4E62D"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1317D1" w14:textId="77777777" w:rsidR="00192C6B" w:rsidRDefault="00192C6B" w:rsidP="00D11007">
            <w:pPr>
              <w:spacing w:after="40" w:line="240" w:lineRule="auto"/>
            </w:pPr>
            <w:r>
              <w:rPr>
                <w:sz w:val="20"/>
              </w:rPr>
              <w:t>AllocationDimension to AllocationCategory</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859513" w14:textId="77777777" w:rsidR="00192C6B" w:rsidRDefault="00192C6B" w:rsidP="00D11007">
            <w:pPr>
              <w:spacing w:after="40" w:line="240" w:lineRule="auto"/>
            </w:pPr>
            <w:r>
              <w:rPr>
                <w:sz w:val="20"/>
              </w:rPr>
              <w:t>Each category has one dimension; a dimension has zero or more categories. Every entry's category dimension must match its snapshot dimension.</w:t>
            </w:r>
          </w:p>
        </w:tc>
      </w:tr>
      <w:tr w:rsidR="00192C6B" w14:paraId="2B10E031"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EF11E2" w14:textId="77777777" w:rsidR="00192C6B" w:rsidRDefault="00192C6B" w:rsidP="00D11007">
            <w:pPr>
              <w:spacing w:after="40" w:line="240" w:lineRule="auto"/>
            </w:pPr>
            <w:r>
              <w:rPr>
                <w:sz w:val="20"/>
              </w:rPr>
              <w:t>ClassificationScheme to AllocationCategory</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8DD429" w14:textId="77777777" w:rsidR="00192C6B" w:rsidRDefault="00192C6B" w:rsidP="00D11007">
            <w:pPr>
              <w:spacing w:after="40" w:line="240" w:lineRule="auto"/>
            </w:pPr>
            <w:r>
              <w:rPr>
                <w:sz w:val="20"/>
              </w:rPr>
              <w:t>A scheme defines zero or more categories; a category has zero or one known scheme. A scheme record includes its version when available. An unknown scheme remains unknown.</w:t>
            </w:r>
          </w:p>
        </w:tc>
      </w:tr>
      <w:tr w:rsidR="00192C6B" w14:paraId="182CBBCD"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759397" w14:textId="77777777" w:rsidR="00192C6B" w:rsidRDefault="00192C6B" w:rsidP="00D11007">
            <w:pPr>
              <w:spacing w:after="40" w:line="240" w:lineRule="auto"/>
            </w:pPr>
            <w:r>
              <w:rPr>
                <w:sz w:val="20"/>
              </w:rPr>
              <w:t>ETFProvider to SourceDocument</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ABCEE3" w14:textId="77777777" w:rsidR="00192C6B" w:rsidRDefault="00192C6B" w:rsidP="00D11007">
            <w:pPr>
              <w:spacing w:after="40" w:line="240" w:lineRule="auto"/>
            </w:pPr>
            <w:r>
              <w:rPr>
                <w:sz w:val="20"/>
              </w:rPr>
              <w:t>A provider publishes zero or more captured sources; each source has one publisher in this dataset. The publishing role is independent of the provider relationship to the ETF.</w:t>
            </w:r>
          </w:p>
        </w:tc>
      </w:tr>
      <w:tr w:rsidR="00192C6B" w14:paraId="4A030566" w14:textId="77777777" w:rsidTr="00D1100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2D5914" w14:textId="77777777" w:rsidR="00192C6B" w:rsidRDefault="00192C6B" w:rsidP="00D11007">
            <w:pPr>
              <w:spacing w:after="40" w:line="240" w:lineRule="auto"/>
            </w:pPr>
            <w:r>
              <w:rPr>
                <w:sz w:val="20"/>
              </w:rPr>
              <w:t>SourceDocument to AllocationSnapshot</w:t>
            </w:r>
          </w:p>
        </w:tc>
        <w:tc>
          <w:tcPr>
            <w:tcW w:w="7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BF112E" w14:textId="77777777" w:rsidR="00192C6B" w:rsidRDefault="00192C6B" w:rsidP="00D11007">
            <w:pPr>
              <w:spacing w:after="40" w:line="240" w:lineRule="auto"/>
            </w:pPr>
            <w:r>
              <w:rPr>
                <w:sz w:val="20"/>
              </w:rPr>
              <w:t>A source supports zero or more snapshots; each snapshot has one primary source. A source means a captured version. One factsheet can support sector and geography snapshots.</w:t>
            </w:r>
          </w:p>
        </w:tc>
      </w:tr>
    </w:tbl>
    <w:p w14:paraId="70F30546" w14:textId="77777777" w:rsidR="00192C6B" w:rsidRDefault="00192C6B" w:rsidP="00192C6B"/>
    <w:p w14:paraId="361E4BDC" w14:textId="77777777" w:rsidR="00192C6B" w:rsidRDefault="00192C6B" w:rsidP="00192C6B">
      <w:pPr>
        <w:pStyle w:val="Heading1"/>
      </w:pPr>
      <w:r>
        <w:t>Why these entities are included</w:t>
      </w:r>
    </w:p>
    <w:p w14:paraId="43511375" w14:textId="77777777" w:rsidR="00192C6B" w:rsidRDefault="00192C6B" w:rsidP="00192C6B">
      <w:r>
        <w:t>Snapshot and Entry separate a disclosure from its percentage rows. Categories, schemes and dimensions preserve their meaning. Sources preserve the evidence. Customers and portfolios support the fictional examples; a bank or savings account can introduce the story without needing its own entity for these questions.</w:t>
      </w:r>
    </w:p>
    <w:p w14:paraId="186455DC" w14:textId="77777777" w:rsidR="00192C6B" w:rsidRDefault="00192C6B" w:rsidP="00192C6B">
      <w:pPr>
        <w:pStyle w:val="Heading1"/>
        <w:pageBreakBefore/>
      </w:pPr>
      <w:r>
        <w:lastRenderedPageBreak/>
        <w:t>Proposed modeling rules</w:t>
      </w:r>
    </w:p>
    <w:p w14:paraId="5C3E910B" w14:textId="77777777" w:rsidR="00192C6B" w:rsidRDefault="00192C6B" w:rsidP="00192C6B">
      <w:r>
        <w:rPr>
          <w:b/>
        </w:rPr>
        <w:t xml:space="preserve">Observation grain. </w:t>
      </w:r>
      <w:r>
        <w:t>A Holding is unique for portfolio, ETF and holdingAsOfDate. An AllocationSnapshot is one source-backed observation for ETF, allocationAsOfDate, dimension and allocation basis. Two sources for the same fund and date remain separate observations; never average them silently. Within a snapshot, a category appears at most once.</w:t>
      </w:r>
    </w:p>
    <w:p w14:paraId="674F2EB5" w14:textId="77777777" w:rsidR="00192C6B" w:rsidRDefault="00192C6B" w:rsidP="00192C6B">
      <w:r>
        <w:rPr>
          <w:b/>
        </w:rPr>
        <w:t xml:space="preserve">Dates and source versions. </w:t>
      </w:r>
      <w:r>
        <w:t>allocationAsOfDate is the date of the reported allocation. retrievedAt is when we captured the source; publishedAt is optional and only recorded if stated. Holding dates are separate. Keep a captured file reference, page or section locator, and optionally a content hash. A changing URL alone does not preserve an earlier disclosure.</w:t>
      </w:r>
    </w:p>
    <w:p w14:paraId="63BFBC2E" w14:textId="77777777" w:rsidR="00192C6B" w:rsidRDefault="00192C6B" w:rsidP="00192C6B">
      <w:r>
        <w:rPr>
          <w:b/>
        </w:rPr>
        <w:t xml:space="preserve">Weight values and totals. </w:t>
      </w:r>
      <w:r>
        <w:t>Store percentages as decimal fractions from 0 to 1, while preserving displayed precision in the captured evidence. Check the sum of the complete ETF-only portfolio for each holding date. For allocation snapshots, check totals only when the categories are mutually exclusive and cover the stated basis. Record partial or unknown coverage and provider rounding; do not force every disclosure to sum to exactly 1.</w:t>
      </w:r>
    </w:p>
    <w:p w14:paraId="4DA3162A" w14:textId="77777777" w:rsidR="00192C6B" w:rsidRDefault="00192C6B" w:rsidP="00192C6B">
      <w:r>
        <w:rPr>
          <w:b/>
        </w:rPr>
        <w:t xml:space="preserve">Categories and schemes. </w:t>
      </w:r>
      <w:r>
        <w:t>Do not merge categories only because their labels match. Known categories are identified within their scheme and version. If the scheme is unstated, keep categories local to the provider and disclosed allocation context. All entries in a snapshot use the same dimension and a consistent scheme context when known. Geography uses one level per snapshot, such as country or region, so overlapping levels are not added together.</w:t>
      </w:r>
    </w:p>
    <w:p w14:paraId="049620DA" w14:textId="77777777" w:rsidR="00192C6B" w:rsidRDefault="00192C6B" w:rsidP="00192C6B">
      <w:r>
        <w:rPr>
          <w:b/>
        </w:rPr>
        <w:t xml:space="preserve">Selecting disclosures. </w:t>
      </w:r>
      <w:r>
        <w:t>For a portfolio dated D, select at most one compatible snapshot per ETF and dimension, with allocationAsOfDate no later than D. Prefer an exact date match; otherwise explicitly use the latest prior observation and report its age. A freshness threshold is a query parameter, not a universal rule. Distinct sources tied on date require an explicit selection or an ambiguity result. A missing snapshot is reported as missing.</w:t>
      </w:r>
    </w:p>
    <w:p w14:paraId="0E770BA3" w14:textId="77777777" w:rsidR="00192C6B" w:rsidRDefault="00192C6B" w:rsidP="00192C6B">
      <w:r>
        <w:rPr>
          <w:b/>
        </w:rPr>
        <w:t xml:space="preserve">Exposure calculation. </w:t>
      </w:r>
      <w:r>
        <w:t>For category c, multiply each selected holding weight by its ETF's disclosed category fraction, then sum the compatible contributions. Check dates, category meaning, classification context and allocation basis first. A missing category is zero only if a complete disclosure establishes this; otherwise it is unknown. Excluded cash or other assets make the result an estimate on the provider's stated basis, rather than an exact percentage of all portfolio assets.</w:t>
      </w:r>
    </w:p>
    <w:p w14:paraId="080627C9" w14:textId="77777777" w:rsidR="00192C6B" w:rsidRDefault="00192C6B" w:rsidP="00192C6B">
      <w:r>
        <w:rPr>
          <w:b/>
        </w:rPr>
        <w:t xml:space="preserve">Storing and implementing the model. </w:t>
      </w:r>
      <w:r>
        <w:t>Exposure and snapshot age are derived query results, so they are not extra core entities. Each result should report the selected holding observations, snapshot identifiers, dates and sources. These rules are proposed data constraints for later relational and semantic validation; a conceptual ERD does not enforce them by itself. No trades, prices, underlying-security positions, bank accounts, analyst workflow or ML entities are needed for the submitted competency questions.</w:t>
      </w:r>
    </w:p>
    <w:p w14:paraId="6F310D01" w14:textId="77777777" w:rsidR="00192C6B" w:rsidRDefault="00192C6B" w:rsidP="00192C6B">
      <w:pPr>
        <w:pStyle w:val="Heading1"/>
        <w:pageBreakBefore/>
      </w:pPr>
      <w:r>
        <w:lastRenderedPageBreak/>
        <w:t>Competency questions for later validation</w:t>
      </w:r>
    </w:p>
    <w:p w14:paraId="47CCC80A" w14:textId="77777777" w:rsidR="00192C6B" w:rsidRDefault="00192C6B" w:rsidP="00192C6B">
      <w:r>
        <w:t>These six draft questions turn the scope in our proposal into checks for the later relational and semantic representations. They are a validation plan, not completed implementation results. Both versions should return the same selected observations and numerical answers under the same date and source-selection rules.</w:t>
      </w:r>
    </w:p>
    <w:tbl>
      <w:tblPr>
        <w:tblW w:w="0" w:type="auto"/>
        <w:jc w:val="center"/>
        <w:tblLayout w:type="fixed"/>
        <w:tblLook w:val="04A0" w:firstRow="1" w:lastRow="0" w:firstColumn="1" w:lastColumn="0" w:noHBand="0" w:noVBand="1"/>
      </w:tblPr>
      <w:tblGrid>
        <w:gridCol w:w="648"/>
        <w:gridCol w:w="4392"/>
        <w:gridCol w:w="5040"/>
      </w:tblGrid>
      <w:tr w:rsidR="00192C6B" w14:paraId="612E516A" w14:textId="77777777" w:rsidTr="00D1100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1622F809" w14:textId="77777777" w:rsidR="00192C6B" w:rsidRDefault="00192C6B" w:rsidP="00D11007">
            <w:pPr>
              <w:spacing w:after="40" w:line="240" w:lineRule="auto"/>
            </w:pPr>
            <w:r>
              <w:rPr>
                <w:b/>
                <w:sz w:val="20"/>
              </w:rPr>
              <w:t>ID</w:t>
            </w:r>
          </w:p>
        </w:tc>
        <w:tc>
          <w:tcPr>
            <w:tcW w:w="4392"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569220EC" w14:textId="77777777" w:rsidR="00192C6B" w:rsidRDefault="00192C6B" w:rsidP="00D11007">
            <w:pPr>
              <w:spacing w:after="40" w:line="240" w:lineRule="auto"/>
            </w:pPr>
            <w:r>
              <w:rPr>
                <w:b/>
                <w:sz w:val="20"/>
              </w:rPr>
              <w:t>Question</w:t>
            </w:r>
          </w:p>
        </w:tc>
        <w:tc>
          <w:tcPr>
            <w:tcW w:w="5040"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3F05EBA8" w14:textId="77777777" w:rsidR="00192C6B" w:rsidRDefault="00192C6B" w:rsidP="00D11007">
            <w:pPr>
              <w:spacing w:after="40" w:line="240" w:lineRule="auto"/>
            </w:pPr>
            <w:r>
              <w:rPr>
                <w:b/>
                <w:sz w:val="20"/>
              </w:rPr>
              <w:t>Relationships and expected result</w:t>
            </w:r>
          </w:p>
        </w:tc>
      </w:tr>
      <w:tr w:rsidR="00192C6B" w14:paraId="240C8706" w14:textId="77777777" w:rsidTr="00D1100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F630FD" w14:textId="77777777" w:rsidR="00192C6B" w:rsidRDefault="00192C6B" w:rsidP="00D11007">
            <w:pPr>
              <w:spacing w:after="40" w:line="240" w:lineRule="auto"/>
            </w:pPr>
            <w:r>
              <w:rPr>
                <w:sz w:val="20"/>
              </w:rPr>
              <w:t>CQ1</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C23FD0" w14:textId="77777777" w:rsidR="00192C6B" w:rsidRDefault="00192C6B" w:rsidP="00D11007">
            <w:pPr>
              <w:spacing w:after="40" w:line="240" w:lineRule="auto"/>
            </w:pPr>
            <w:r>
              <w:rPr>
                <w:sz w:val="20"/>
              </w:rPr>
              <w:t>Which ETFs does a customer hold in a portfolio on date D, and at what weights?</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16E999" w14:textId="77777777" w:rsidR="00192C6B" w:rsidRDefault="00192C6B" w:rsidP="00D11007">
            <w:pPr>
              <w:spacing w:after="40" w:line="240" w:lineRule="auto"/>
            </w:pPr>
            <w:r>
              <w:rPr>
                <w:sz w:val="20"/>
              </w:rPr>
              <w:t>Customer &gt; Portfolio &gt; Holding &gt; ETF, filtered by holdingAsOfDate.</w:t>
            </w:r>
          </w:p>
        </w:tc>
      </w:tr>
      <w:tr w:rsidR="00192C6B" w14:paraId="22A2EEDE" w14:textId="77777777" w:rsidTr="00D1100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A4AF00" w14:textId="77777777" w:rsidR="00192C6B" w:rsidRDefault="00192C6B" w:rsidP="00D11007">
            <w:pPr>
              <w:spacing w:after="40" w:line="240" w:lineRule="auto"/>
            </w:pPr>
            <w:r>
              <w:rPr>
                <w:sz w:val="20"/>
              </w:rPr>
              <w:t>CQ2</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DA40DB" w14:textId="77777777" w:rsidR="00192C6B" w:rsidRDefault="00192C6B" w:rsidP="00D11007">
            <w:pPr>
              <w:spacing w:after="40" w:line="240" w:lineRule="auto"/>
            </w:pPr>
            <w:r>
              <w:rPr>
                <w:sz w:val="20"/>
              </w:rPr>
              <w:t>What sector contribution or estimate can be calculated for that portfolio from compatible disclosures?</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6F1B1" w14:textId="77777777" w:rsidR="00192C6B" w:rsidRDefault="00192C6B" w:rsidP="00D11007">
            <w:pPr>
              <w:spacing w:after="40" w:line="240" w:lineRule="auto"/>
            </w:pPr>
            <w:r>
              <w:rPr>
                <w:sz w:val="20"/>
              </w:rPr>
              <w:t>Holdings plus selected sector snapshots, entries and categories; return dates, coverage and missing data.</w:t>
            </w:r>
          </w:p>
        </w:tc>
      </w:tr>
      <w:tr w:rsidR="00192C6B" w14:paraId="23B4BE94" w14:textId="77777777" w:rsidTr="00D1100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B26CC6" w14:textId="77777777" w:rsidR="00192C6B" w:rsidRDefault="00192C6B" w:rsidP="00D11007">
            <w:pPr>
              <w:spacing w:after="40" w:line="240" w:lineRule="auto"/>
            </w:pPr>
            <w:r>
              <w:rPr>
                <w:sz w:val="20"/>
              </w:rPr>
              <w:t>CQ3</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03D5A0" w14:textId="77777777" w:rsidR="00192C6B" w:rsidRDefault="00192C6B" w:rsidP="00D11007">
            <w:pPr>
              <w:spacing w:after="40" w:line="240" w:lineRule="auto"/>
            </w:pPr>
            <w:r>
              <w:rPr>
                <w:sz w:val="20"/>
              </w:rPr>
              <w:t>What geographic contribution or estimate can be calculated on the same terms?</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2731F8" w14:textId="77777777" w:rsidR="00192C6B" w:rsidRDefault="00192C6B" w:rsidP="00D11007">
            <w:pPr>
              <w:spacing w:after="40" w:line="240" w:lineRule="auto"/>
            </w:pPr>
            <w:r>
              <w:rPr>
                <w:sz w:val="20"/>
              </w:rPr>
              <w:t>Use geographic snapshots at one compatible geography level; keep the provider's basis visible.</w:t>
            </w:r>
          </w:p>
        </w:tc>
      </w:tr>
      <w:tr w:rsidR="00192C6B" w14:paraId="2C74ED6B" w14:textId="77777777" w:rsidTr="00D1100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FFF22E" w14:textId="77777777" w:rsidR="00192C6B" w:rsidRDefault="00192C6B" w:rsidP="00D11007">
            <w:pPr>
              <w:spacing w:after="40" w:line="240" w:lineRule="auto"/>
            </w:pPr>
            <w:r>
              <w:rPr>
                <w:sz w:val="20"/>
              </w:rPr>
              <w:t>CQ4</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FAB450" w14:textId="77777777" w:rsidR="00192C6B" w:rsidRDefault="00192C6B" w:rsidP="00D11007">
            <w:pPr>
              <w:spacing w:after="40" w:line="240" w:lineRule="auto"/>
            </w:pPr>
            <w:r>
              <w:rPr>
                <w:sz w:val="20"/>
              </w:rPr>
              <w:t>Which provider source supports a selected ETF allocation percentage?</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E44698" w14:textId="77777777" w:rsidR="00192C6B" w:rsidRDefault="00192C6B" w:rsidP="00D11007">
            <w:pPr>
              <w:spacing w:after="40" w:line="240" w:lineRule="auto"/>
            </w:pPr>
            <w:r>
              <w:rPr>
                <w:sz w:val="20"/>
              </w:rPr>
              <w:t>Entry &gt; Snapshot &gt; SourceDocument &gt; ETFProvider, including source locator and retrieval time.</w:t>
            </w:r>
          </w:p>
        </w:tc>
      </w:tr>
      <w:tr w:rsidR="00192C6B" w14:paraId="363AE644" w14:textId="77777777" w:rsidTr="00D1100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4DE31" w14:textId="77777777" w:rsidR="00192C6B" w:rsidRDefault="00192C6B" w:rsidP="00D11007">
            <w:pPr>
              <w:spacing w:after="40" w:line="240" w:lineRule="auto"/>
            </w:pPr>
            <w:r>
              <w:rPr>
                <w:sz w:val="20"/>
              </w:rPr>
              <w:t>CQ5</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8CB9BE" w14:textId="77777777" w:rsidR="00192C6B" w:rsidRDefault="00192C6B" w:rsidP="00D11007">
            <w:pPr>
              <w:spacing w:after="40" w:line="240" w:lineRule="auto"/>
            </w:pPr>
            <w:r>
              <w:rPr>
                <w:sz w:val="20"/>
              </w:rPr>
              <w:t>Which ETF does a supplied identifier refer to?</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BE93D9" w14:textId="77777777" w:rsidR="00192C6B" w:rsidRDefault="00192C6B" w:rsidP="00D11007">
            <w:pPr>
              <w:spacing w:after="40" w:line="240" w:lineRule="auto"/>
            </w:pPr>
            <w:r>
              <w:rPr>
                <w:sz w:val="20"/>
              </w:rPr>
              <w:t>ETFIdentifier &gt; ETF, using scheme and any required exchange context; flag ambiguous input.</w:t>
            </w:r>
          </w:p>
        </w:tc>
      </w:tr>
      <w:tr w:rsidR="00192C6B" w14:paraId="013E7A0B" w14:textId="77777777" w:rsidTr="00D1100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0910E" w14:textId="77777777" w:rsidR="00192C6B" w:rsidRDefault="00192C6B" w:rsidP="00D11007">
            <w:pPr>
              <w:spacing w:after="40" w:line="240" w:lineRule="auto"/>
            </w:pPr>
            <w:r>
              <w:rPr>
                <w:sz w:val="20"/>
              </w:rPr>
              <w:t>CQ6</w:t>
            </w:r>
          </w:p>
        </w:tc>
        <w:tc>
          <w:tcPr>
            <w:tcW w:w="43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E96B1B" w14:textId="77777777" w:rsidR="00192C6B" w:rsidRDefault="00192C6B" w:rsidP="00D11007">
            <w:pPr>
              <w:spacing w:after="40" w:line="240" w:lineRule="auto"/>
            </w:pPr>
            <w:r>
              <w:rPr>
                <w:sz w:val="20"/>
              </w:rPr>
              <w:t>Which ETF allocations are missing or older than a chosen threshold at D?</w:t>
            </w:r>
          </w:p>
        </w:tc>
        <w:tc>
          <w:tcPr>
            <w:tcW w:w="5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BE93F2" w14:textId="77777777" w:rsidR="00192C6B" w:rsidRDefault="00192C6B" w:rsidP="00D11007">
            <w:pPr>
              <w:spacing w:after="40" w:line="240" w:lineRule="auto"/>
            </w:pPr>
            <w:r>
              <w:rPr>
                <w:sz w:val="20"/>
              </w:rPr>
              <w:t>Compare D with selected allocationAsOfDate; distinguish stale observations from missing ones.</w:t>
            </w:r>
          </w:p>
        </w:tc>
      </w:tr>
    </w:tbl>
    <w:p w14:paraId="54DCA447" w14:textId="77777777" w:rsidR="00192C6B" w:rsidRDefault="00192C6B" w:rsidP="00192C6B"/>
    <w:p w14:paraId="2F971F0C" w14:textId="77777777" w:rsidR="00192C6B" w:rsidRDefault="00192C6B" w:rsidP="00192C6B">
      <w:pPr>
        <w:pStyle w:val="Heading1"/>
      </w:pPr>
      <w:r>
        <w:t>Review cases that can reveal model problems</w:t>
      </w:r>
    </w:p>
    <w:p w14:paraId="538ED9D6" w14:textId="77777777" w:rsidR="00192C6B" w:rsidRDefault="00192C6B" w:rsidP="00192C6B">
      <w:r>
        <w:t>Use a hand-checked exposure example, two dates for one ETF, a missing snapshot, an old snapshot, a ticker that needs exchange context, an unstated classification scheme, and two sources tied on the same observation date. Check that the output preserves the selected source and date, flags ambiguity, and does not convert missing values into zero. This gives us more useful validation than checking only that the tables or graph can be loaded.</w:t>
      </w:r>
    </w:p>
    <w:p w14:paraId="2A47D5B6" w14:textId="77777777" w:rsidR="00192C6B" w:rsidRDefault="00192C6B" w:rsidP="00192C6B">
      <w:pPr>
        <w:pStyle w:val="Heading1"/>
      </w:pPr>
      <w:r>
        <w:t>Worked example within the proposal</w:t>
      </w:r>
    </w:p>
    <w:p w14:paraId="20DE8155" w14:textId="77777777" w:rsidR="00192C6B" w:rsidRDefault="00192C6B" w:rsidP="00192C6B">
      <w:r>
        <w:t>Sara's fictional portfolio has CAD 20,000, with 45% in XIC and 55% in VFV. The Vanguard page reports a 100.00% United States market allocation dated 31 August 2026 [4]. VFV's contribution is 0.55 times 1.00, or 0.55. This becomes the total portfolio US estimate only if a compatible XIC disclosure establishes its contribution too. An unreported category is not automatically zero, and an equity-only disclosure does not give a complete valuation of every portfolio asset.</w:t>
      </w:r>
    </w:p>
    <w:p w14:paraId="13146808" w14:textId="77777777" w:rsidR="00192C6B" w:rsidRDefault="00192C6B" w:rsidP="00192C6B">
      <w:r>
        <w:t>The VFV disclosure is 36 days old on 6 October 2026, so a query with a chosen 30-day threshold would flag it. That threshold is only an example. These are retrospective as-of queries: retrieving a source after the portfolio date does not prove that it was publicly available on that date.</w:t>
      </w:r>
    </w:p>
    <w:p w14:paraId="10E7BFB2" w14:textId="77777777" w:rsidR="00192C6B" w:rsidRDefault="00192C6B" w:rsidP="00192C6B">
      <w:pPr>
        <w:pStyle w:val="Heading1"/>
        <w:pageBreakBefore/>
      </w:pPr>
      <w:r>
        <w:lastRenderedPageBreak/>
        <w:t>How the sources inform the design</w:t>
      </w:r>
    </w:p>
    <w:tbl>
      <w:tblPr>
        <w:tblW w:w="0" w:type="auto"/>
        <w:jc w:val="center"/>
        <w:tblLayout w:type="fixed"/>
        <w:tblLook w:val="04A0" w:firstRow="1" w:lastRow="0" w:firstColumn="1" w:lastColumn="0" w:noHBand="0" w:noVBand="1"/>
      </w:tblPr>
      <w:tblGrid>
        <w:gridCol w:w="1872"/>
        <w:gridCol w:w="4032"/>
        <w:gridCol w:w="4176"/>
      </w:tblGrid>
      <w:tr w:rsidR="00192C6B" w14:paraId="4D0570F1" w14:textId="77777777" w:rsidTr="00D1100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25B1B967" w14:textId="77777777" w:rsidR="00192C6B" w:rsidRDefault="00192C6B" w:rsidP="00D11007">
            <w:pPr>
              <w:spacing w:after="40" w:line="240" w:lineRule="auto"/>
            </w:pPr>
            <w:r>
              <w:rPr>
                <w:b/>
                <w:sz w:val="20"/>
              </w:rPr>
              <w:t>Source or representation</w:t>
            </w:r>
          </w:p>
        </w:tc>
        <w:tc>
          <w:tcPr>
            <w:tcW w:w="4032"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2E225E90" w14:textId="77777777" w:rsidR="00192C6B" w:rsidRDefault="00192C6B" w:rsidP="00D11007">
            <w:pPr>
              <w:spacing w:after="40" w:line="240" w:lineRule="auto"/>
            </w:pPr>
            <w:r>
              <w:rPr>
                <w:b/>
                <w:sz w:val="20"/>
              </w:rPr>
              <w:t>Relevant evidence</w:t>
            </w:r>
          </w:p>
        </w:tc>
        <w:tc>
          <w:tcPr>
            <w:tcW w:w="4176" w:type="dxa"/>
            <w:tcBorders>
              <w:top w:val="single" w:sz="4" w:space="0" w:color="D9D9D9"/>
              <w:left w:val="single" w:sz="4" w:space="0" w:color="D9D9D9"/>
              <w:bottom w:val="single" w:sz="4" w:space="0" w:color="D9D9D9"/>
              <w:right w:val="single" w:sz="4" w:space="0" w:color="D9D9D9"/>
            </w:tcBorders>
            <w:shd w:val="clear" w:color="auto" w:fill="E9EEF2"/>
            <w:tcMar>
              <w:top w:w="85" w:type="dxa"/>
              <w:left w:w="85" w:type="dxa"/>
              <w:bottom w:w="85" w:type="dxa"/>
              <w:right w:w="85" w:type="dxa"/>
            </w:tcMar>
            <w:vAlign w:val="center"/>
          </w:tcPr>
          <w:p w14:paraId="7792925A" w14:textId="77777777" w:rsidR="00192C6B" w:rsidRDefault="00192C6B" w:rsidP="00D11007">
            <w:pPr>
              <w:spacing w:after="40" w:line="240" w:lineRule="auto"/>
            </w:pPr>
            <w:r>
              <w:rPr>
                <w:b/>
                <w:sz w:val="20"/>
              </w:rPr>
              <w:t>Design response</w:t>
            </w:r>
          </w:p>
        </w:tc>
      </w:tr>
      <w:tr w:rsidR="00192C6B" w14:paraId="0B601BC4" w14:textId="77777777" w:rsidTr="00D1100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CABD44" w14:textId="77777777" w:rsidR="00192C6B" w:rsidRDefault="00192C6B" w:rsidP="00D11007">
            <w:pPr>
              <w:spacing w:after="40" w:line="240" w:lineRule="auto"/>
            </w:pPr>
            <w:r>
              <w:rPr>
                <w:sz w:val="20"/>
              </w:rPr>
              <w:t>Provider disclosures [4, 5]</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CBD33C" w14:textId="77777777" w:rsidR="00192C6B" w:rsidRDefault="00192C6B" w:rsidP="00D11007">
            <w:pPr>
              <w:spacing w:after="40" w:line="240" w:lineRule="auto"/>
            </w:pPr>
            <w:r>
              <w:rPr>
                <w:sz w:val="20"/>
              </w:rPr>
              <w:t>VFV presents a dated country allocation and source caveats about exposure coverage. XIC has a dated sector breakdown identified as a percentage of market value.</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39677" w14:textId="77777777" w:rsidR="00192C6B" w:rsidRDefault="00192C6B" w:rsidP="00D11007">
            <w:pPr>
              <w:spacing w:after="40" w:line="240" w:lineRule="auto"/>
            </w:pPr>
            <w:r>
              <w:rPr>
                <w:sz w:val="20"/>
              </w:rPr>
              <w:t>Separate dimension and as-of date; retain source, basis and coverage notes.</w:t>
            </w:r>
          </w:p>
        </w:tc>
      </w:tr>
      <w:tr w:rsidR="00192C6B" w14:paraId="7C190D9E" w14:textId="77777777" w:rsidTr="00D1100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15DB17" w14:textId="77777777" w:rsidR="00192C6B" w:rsidRDefault="00192C6B" w:rsidP="00D11007">
            <w:pPr>
              <w:spacing w:after="40" w:line="240" w:lineRule="auto"/>
            </w:pPr>
            <w:r>
              <w:rPr>
                <w:sz w:val="20"/>
              </w:rPr>
              <w:t>FIBO fund concepts [1]</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82AD44" w14:textId="77777777" w:rsidR="00192C6B" w:rsidRDefault="00192C6B" w:rsidP="00D11007">
            <w:pPr>
              <w:spacing w:after="40" w:line="240" w:lineRule="auto"/>
            </w:pPr>
            <w:r>
              <w:rPr>
                <w:sz w:val="20"/>
              </w:rPr>
              <w:t>FundClassification classifies a collective investment vehicle by fund type. definesAllocations has policy and limitation classes as its domain and range.</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DCE1D" w14:textId="77777777" w:rsidR="00192C6B" w:rsidRDefault="00192C6B" w:rsidP="00D11007">
            <w:pPr>
              <w:spacing w:after="40" w:line="240" w:lineRule="auto"/>
            </w:pPr>
            <w:r>
              <w:rPr>
                <w:sz w:val="20"/>
              </w:rPr>
              <w:t>Do not type a sector-percentage row as a fund classification or use the policy property for an observation.</w:t>
            </w:r>
          </w:p>
        </w:tc>
      </w:tr>
      <w:tr w:rsidR="00192C6B" w14:paraId="0F1DA8E8" w14:textId="77777777" w:rsidTr="00D1100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2C537E" w14:textId="77777777" w:rsidR="00192C6B" w:rsidRDefault="00192C6B" w:rsidP="00D11007">
            <w:pPr>
              <w:spacing w:after="40" w:line="240" w:lineRule="auto"/>
            </w:pPr>
            <w:r>
              <w:rPr>
                <w:sz w:val="20"/>
              </w:rPr>
              <w:t>FIBO basket and date concepts [2, 3]</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8BF499" w14:textId="77777777" w:rsidR="00192C6B" w:rsidRDefault="00192C6B" w:rsidP="00D11007">
            <w:pPr>
              <w:spacing w:after="40" w:line="240" w:lineRule="auto"/>
            </w:pPr>
            <w:r>
              <w:rPr>
                <w:sz w:val="20"/>
              </w:rPr>
              <w:t>WeightedBasket and WeightedBasketConstituent support weighted structure. hasAsOfDate is an object property for the relevant observation date.</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3353AC" w14:textId="77777777" w:rsidR="00192C6B" w:rsidRDefault="00192C6B" w:rsidP="00D11007">
            <w:pPr>
              <w:spacing w:after="40" w:line="240" w:lineRule="auto"/>
            </w:pPr>
            <w:r>
              <w:rPr>
                <w:sz w:val="20"/>
              </w:rPr>
              <w:t>Investigate reuse of weights and dates. Check superclass and property restrictions before assigning OWL types.</w:t>
            </w:r>
          </w:p>
        </w:tc>
      </w:tr>
      <w:tr w:rsidR="00192C6B" w14:paraId="4BA3BE85" w14:textId="77777777" w:rsidTr="00D1100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E58154" w14:textId="77777777" w:rsidR="00192C6B" w:rsidRDefault="00192C6B" w:rsidP="00D11007">
            <w:pPr>
              <w:spacing w:after="40" w:line="240" w:lineRule="auto"/>
            </w:pPr>
            <w:r>
              <w:rPr>
                <w:sz w:val="20"/>
              </w:rPr>
              <w:t>GFRO application [6]</w:t>
            </w:r>
          </w:p>
        </w:tc>
        <w:tc>
          <w:tcPr>
            <w:tcW w:w="40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9F646F" w14:textId="77777777" w:rsidR="00192C6B" w:rsidRDefault="00192C6B" w:rsidP="00D11007">
            <w:pPr>
              <w:spacing w:after="40" w:line="240" w:lineRule="auto"/>
            </w:pPr>
            <w:r>
              <w:rPr>
                <w:sz w:val="20"/>
              </w:rPr>
              <w:t>The paper reports point-in-time fund graphs and country, sector and currency summaries. It does not present enough of the disclosure schema to establish the absence of our exact pattern.</w:t>
            </w:r>
          </w:p>
        </w:tc>
        <w:tc>
          <w:tcPr>
            <w:tcW w:w="41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DCC5F9" w14:textId="77777777" w:rsidR="00192C6B" w:rsidRDefault="00192C6B" w:rsidP="00D11007">
            <w:pPr>
              <w:spacing w:after="40" w:line="240" w:lineRule="auto"/>
            </w:pPr>
            <w:r>
              <w:rPr>
                <w:sz w:val="20"/>
              </w:rPr>
              <w:t>Acknowledge this overlap. Position our work as a small explicit disclosure pattern, with the gap still subject to the team's ontology review.</w:t>
            </w:r>
          </w:p>
        </w:tc>
      </w:tr>
    </w:tbl>
    <w:p w14:paraId="63D0BEB8" w14:textId="77777777" w:rsidR="00192C6B" w:rsidRDefault="00192C6B" w:rsidP="00192C6B"/>
    <w:p w14:paraId="5A3180D8" w14:textId="77777777" w:rsidR="00192C6B" w:rsidRDefault="00192C6B" w:rsidP="00192C6B">
      <w:pPr>
        <w:pStyle w:val="Heading1"/>
      </w:pPr>
      <w:r>
        <w:t>FIBO reuse decisions to check with Shahmeer</w:t>
      </w:r>
    </w:p>
    <w:p w14:paraId="3828BCCE" w14:textId="77777777" w:rsidR="00192C6B" w:rsidRDefault="00192C6B" w:rsidP="00192C6B">
      <w:r>
        <w:t>The definitions in references 1 to 3 were inspected directly in the RDF files at the same pinned revision. FundClassification and FundClassificationScheme classify a fund by asset class. Our AllocationCategory instead identifies a category used in an observed breakdown. Generic classifier and classification-scheme concepts are better candidates for that role; the exact imported Commons classes need to be checked before the semantic mapping is finalized.</w:t>
      </w:r>
    </w:p>
    <w:p w14:paraId="0DDFF89D" w14:textId="77777777" w:rsidR="00192C6B" w:rsidRDefault="00192C6B" w:rsidP="00192C6B">
      <w:r>
        <w:t>WeightedBasket requires a weighted constituent and a weighting expression, and WeightedBasketConstituent specializes BasketConstituent. A disclosure is information about an ETF, so it should not automatically be typed as an investment basket. hasAsOfDate is an object property, not a direct date-valued datatype property. The later RDF mapping must represent its date value in the expected way. We can preserve the meaning of these concepts without claiming every ERD entity is already a FIBO class.</w:t>
      </w:r>
    </w:p>
    <w:p w14:paraId="64516757" w14:textId="77777777" w:rsidR="00192C6B" w:rsidRDefault="00192C6B" w:rsidP="00192C6B">
      <w:r>
        <w:t>The separately examined Ownership module defines Portfolio as a collection of holdings, while Publishers defines Publisher as a party role [7, 8]. These are further reuse candidates. Our dated Holding record is an observation of a position, and our ETFProvider box records an organization, so neither is an automatic one-to-one OWL mapping. An organization may play a publisher role without being identical to that role.</w:t>
      </w:r>
    </w:p>
    <w:p w14:paraId="21F65950" w14:textId="77777777" w:rsidR="00192C6B" w:rsidRDefault="00192C6B" w:rsidP="00192C6B">
      <w:r>
        <w:t>The gap claim remains limited to an explicit integrated disclosure pattern. This review of selected modules and a prior application is not an exhaustive search of every FIBO import. Shahmeer should check neighboring reporting, classification and fund modules, and the current status of the proposed pattern. If an equivalent pattern exists, our contribution can be framed as a small specialization or application rather than claiming it is absent.</w:t>
      </w:r>
    </w:p>
    <w:p w14:paraId="02CD0A56" w14:textId="77777777" w:rsidR="00192C6B" w:rsidRDefault="00192C6B" w:rsidP="00192C6B">
      <w:pPr>
        <w:pStyle w:val="Heading1"/>
        <w:pageBreakBefore/>
      </w:pPr>
      <w:r>
        <w:lastRenderedPageBreak/>
        <w:t>References and evidence record</w:t>
      </w:r>
    </w:p>
    <w:p w14:paraId="0F124888" w14:textId="77777777" w:rsidR="00192C6B" w:rsidRDefault="00192C6B" w:rsidP="00192C6B">
      <w:r>
        <w:t>Mason can renumber these references or use the included bibliography. Retain captured provider disclosures for the later dataset. The contribution pack includes editable diagram files and a compact FIBO evidence extract.</w:t>
      </w:r>
    </w:p>
    <w:p w14:paraId="4B75413B" w14:textId="77777777" w:rsidR="00192C6B" w:rsidRDefault="00192C6B" w:rsidP="00192C6B">
      <w:r>
        <w:t>[1] EDM Council. FIBO Collective Investment Vehicles. SEC/Funds/CollectiveInvestmentVehicles.rdf. Examined at repository commit 9a7b90ccc64ef9df0762121ff058c9d27fd46037, committed 1 October 2026. Relevant terms: FundClassification, FundClassificationScheme, FundPortfolioInvestmentPolicy, FundPortfolioInvestmentLimitations and definesAllocations.</w:t>
      </w:r>
    </w:p>
    <w:p w14:paraId="6C544B46" w14:textId="77777777" w:rsidR="00192C6B" w:rsidRDefault="00192C6B" w:rsidP="00192C6B">
      <w:pPr>
        <w:spacing w:after="200"/>
      </w:pPr>
      <w:r>
        <w:rPr>
          <w:sz w:val="18"/>
        </w:rPr>
        <w:t>https://github.com/edmcouncil/fibo/blob/9a7b90ccc64ef9df0762121ff058c9d27fd46037/SEC/Funds/CollectiveInvestmentVehicles.rdf</w:t>
      </w:r>
    </w:p>
    <w:p w14:paraId="78D8AA45" w14:textId="77777777" w:rsidR="00192C6B" w:rsidRDefault="00192C6B" w:rsidP="00192C6B">
      <w:r>
        <w:t>[2] EDM Council. FIBO Financial Products and Services. FBC/ProductsAndServices/FinancialProductsAndServices.rdf. Same pinned revision. Relevant terms: WeightedBasket and WeightedBasketConstituent.</w:t>
      </w:r>
    </w:p>
    <w:p w14:paraId="2B09245C" w14:textId="77777777" w:rsidR="00192C6B" w:rsidRDefault="00192C6B" w:rsidP="00192C6B">
      <w:pPr>
        <w:spacing w:after="200"/>
      </w:pPr>
      <w:r>
        <w:rPr>
          <w:sz w:val="18"/>
        </w:rPr>
        <w:t>https://github.com/edmcouncil/fibo/blob/9a7b90ccc64ef9df0762121ff058c9d27fd46037/FBC/ProductsAndServices/FinancialProductsAndServices.rdf</w:t>
      </w:r>
    </w:p>
    <w:p w14:paraId="18C4AAAD" w14:textId="77777777" w:rsidR="00192C6B" w:rsidRDefault="00192C6B" w:rsidP="00192C6B">
      <w:r>
        <w:t>[3] EDM Council. FIBO Financial Dates. FND/DatesAndTimes/FinancialDates.rdf. Same pinned revision. Relevant term: hasAsOfDate.</w:t>
      </w:r>
    </w:p>
    <w:p w14:paraId="4BD46CBD" w14:textId="77777777" w:rsidR="00192C6B" w:rsidRDefault="00192C6B" w:rsidP="00192C6B">
      <w:pPr>
        <w:spacing w:after="200"/>
      </w:pPr>
      <w:r>
        <w:rPr>
          <w:sz w:val="18"/>
        </w:rPr>
        <w:t>https://github.com/edmcouncil/fibo/blob/9a7b90ccc64ef9df0762121ff058c9d27fd46037/FND/DatesAndTimes/FinancialDates.rdf</w:t>
      </w:r>
    </w:p>
    <w:p w14:paraId="2F5C69D9" w14:textId="77777777" w:rsidR="00192C6B" w:rsidRDefault="00192C6B" w:rsidP="00192C6B">
      <w:r>
        <w:t>[4] Vanguard Investments Canada. Vanguard S&amp;P 500 Index ETF (VFV), product page, sections Market allocation, Portfolio data and Purchase information. Accessed 6 October 2026. The displayed market allocation is dated 31 August 2026.</w:t>
      </w:r>
    </w:p>
    <w:p w14:paraId="075585D9" w14:textId="77777777" w:rsidR="00192C6B" w:rsidRDefault="00192C6B" w:rsidP="00192C6B">
      <w:pPr>
        <w:spacing w:after="200"/>
      </w:pPr>
      <w:r>
        <w:rPr>
          <w:sz w:val="18"/>
        </w:rPr>
        <w:t>https://www.vanguard.ca/en/product/etf/equity/9563/vanguard-sp-500-index-etf</w:t>
      </w:r>
    </w:p>
    <w:p w14:paraId="76FC8B67" w14:textId="77777777" w:rsidR="00192C6B" w:rsidRDefault="00192C6B" w:rsidP="00192C6B">
      <w:r>
        <w:t>[5] BlackRock. iShares Core S&amp;P/TSX Capped Composite Index ETF (XIC), product page, sections Key Facts and Exposure Breakdowns. Accessed 6 October 2026. The displayed sector-breakdown date is 2 October 2026.</w:t>
      </w:r>
    </w:p>
    <w:p w14:paraId="517CE9C0" w14:textId="77777777" w:rsidR="00192C6B" w:rsidRDefault="00192C6B" w:rsidP="00192C6B">
      <w:pPr>
        <w:spacing w:after="200"/>
      </w:pPr>
      <w:r>
        <w:rPr>
          <w:sz w:val="18"/>
        </w:rPr>
        <w:t>https://www.blackrock.com/ca/investors/en/products/239837/ishares-sptsx-capped-composite-index-etf</w:t>
      </w:r>
    </w:p>
    <w:p w14:paraId="402043FD" w14:textId="77777777" w:rsidR="00192C6B" w:rsidRDefault="00192C6B" w:rsidP="00192C6B">
      <w:r>
        <w:t>[6] Oliver Browne, Nenad Krdzavac, Philip O'Reilly and Mark Hutchinson. 2017. Semantic Ontologies and Financial Reporting: An Application of the FIBO. FOMI 2017, CEUR Workshop Proceedings, volume 2050. Relevant locations: Table 1, the point-in-time graph discussion and Figure 3.</w:t>
      </w:r>
    </w:p>
    <w:p w14:paraId="30DD2790" w14:textId="77777777" w:rsidR="00192C6B" w:rsidRDefault="00192C6B" w:rsidP="00192C6B">
      <w:pPr>
        <w:spacing w:after="200"/>
      </w:pPr>
      <w:r>
        <w:rPr>
          <w:sz w:val="18"/>
        </w:rPr>
        <w:t>https://ceur-ws.org/Vol-2050/FOMI_paper_1.pdf</w:t>
      </w:r>
    </w:p>
    <w:p w14:paraId="2F43934F" w14:textId="77777777" w:rsidR="00192C6B" w:rsidRDefault="00192C6B" w:rsidP="00192C6B">
      <w:r>
        <w:t>[7] EDM Council. FIBO Ownership. FND/OwnershipAndControl/Ownership.rdf. Same pinned revision. Relevant term: Portfolio.</w:t>
      </w:r>
    </w:p>
    <w:p w14:paraId="4E7708ED" w14:textId="77777777" w:rsidR="00192C6B" w:rsidRDefault="00192C6B" w:rsidP="00192C6B">
      <w:pPr>
        <w:spacing w:after="200"/>
      </w:pPr>
      <w:r>
        <w:rPr>
          <w:sz w:val="18"/>
        </w:rPr>
        <w:t>https://github.com/edmcouncil/fibo/blob/9a7b90ccc64ef9df0762121ff058c9d27fd46037/FND/OwnershipAndControl/Ownership.rdf</w:t>
      </w:r>
    </w:p>
    <w:p w14:paraId="479E5406" w14:textId="77777777" w:rsidR="00192C6B" w:rsidRDefault="00192C6B" w:rsidP="00192C6B">
      <w:r>
        <w:t>[8] EDM Council. FIBO Publishers. BE/FunctionalEntities/Publishers.rdf. Same pinned revision. Relevant term: Publisher.</w:t>
      </w:r>
    </w:p>
    <w:p w14:paraId="200A418C" w14:textId="77777777" w:rsidR="00192C6B" w:rsidRDefault="00192C6B" w:rsidP="00192C6B">
      <w:pPr>
        <w:spacing w:after="200"/>
      </w:pPr>
      <w:r>
        <w:rPr>
          <w:sz w:val="18"/>
        </w:rPr>
        <w:t>https://github.com/edmcouncil/fibo/blob/9a7b90ccc64ef9df0762121ff058c9d27fd46037/BE/FunctionalEntities/Publishers.rdf</w:t>
      </w:r>
    </w:p>
    <w:p w14:paraId="2A2D974D" w14:textId="71CA717E" w:rsidR="006C2C25" w:rsidRDefault="006C2C25"/>
    <w:sectPr w:rsidR="006C2C25" w:rsidSect="00192C6B">
      <w:footerReference w:type="default" r:id="rId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201B" w14:textId="77777777" w:rsidR="006F6CEC" w:rsidRDefault="006F6CEC">
      <w:pPr>
        <w:spacing w:after="0" w:line="240" w:lineRule="auto"/>
      </w:pPr>
      <w:r>
        <w:separator/>
      </w:r>
    </w:p>
  </w:endnote>
  <w:endnote w:type="continuationSeparator" w:id="0">
    <w:p w14:paraId="203B3DF4" w14:textId="77777777" w:rsidR="006F6CEC" w:rsidRDefault="006F6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2101" w14:textId="77777777" w:rsidR="00192C6B" w:rsidRDefault="00192C6B">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BB6E" w14:textId="77777777" w:rsidR="006F6CEC" w:rsidRDefault="006F6CEC">
      <w:pPr>
        <w:spacing w:after="0" w:line="240" w:lineRule="auto"/>
      </w:pPr>
      <w:r>
        <w:separator/>
      </w:r>
    </w:p>
  </w:footnote>
  <w:footnote w:type="continuationSeparator" w:id="0">
    <w:p w14:paraId="147DA6DE" w14:textId="77777777" w:rsidR="006F6CEC" w:rsidRDefault="006F6C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95"/>
    <w:rsid w:val="00117D95"/>
    <w:rsid w:val="00192C6B"/>
    <w:rsid w:val="002A79FA"/>
    <w:rsid w:val="002C4FE4"/>
    <w:rsid w:val="004D65C4"/>
    <w:rsid w:val="00560CE9"/>
    <w:rsid w:val="00631DAA"/>
    <w:rsid w:val="006C2C25"/>
    <w:rsid w:val="006F6CEC"/>
    <w:rsid w:val="00B24EF5"/>
    <w:rsid w:val="00BB12EB"/>
    <w:rsid w:val="00C7102C"/>
    <w:rsid w:val="00F9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49DC"/>
  <w15:chartTrackingRefBased/>
  <w15:docId w15:val="{644030BD-BFC7-4075-B832-50AD2BBB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6B"/>
    <w:pPr>
      <w:spacing w:after="140" w:line="259" w:lineRule="auto"/>
    </w:pPr>
    <w:rPr>
      <w:rFonts w:ascii="Calibri" w:eastAsiaTheme="minorEastAsia" w:hAnsi="Calibri"/>
      <w:color w:val="000000"/>
      <w:kern w:val="0"/>
      <w:sz w:val="22"/>
      <w:szCs w:val="22"/>
      <w14:ligatures w14:val="none"/>
    </w:rPr>
  </w:style>
  <w:style w:type="paragraph" w:styleId="Heading1">
    <w:name w:val="heading 1"/>
    <w:basedOn w:val="Normal"/>
    <w:next w:val="Normal"/>
    <w:link w:val="Heading1Char"/>
    <w:uiPriority w:val="9"/>
    <w:qFormat/>
    <w:rsid w:val="00F926F6"/>
    <w:pPr>
      <w:keepNext/>
      <w:keepLines/>
      <w:spacing w:before="360" w:after="80" w:line="278" w:lineRule="auto"/>
      <w:outlineLvl w:val="0"/>
    </w:pPr>
    <w:rPr>
      <w:rFonts w:ascii="Times New Roman" w:eastAsiaTheme="majorEastAsia" w:hAnsi="Times New Roman"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semiHidden/>
    <w:unhideWhenUsed/>
    <w:qFormat/>
    <w:rsid w:val="00117D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17D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17D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17D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17D9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17D9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17D9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17D9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6F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117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D95"/>
    <w:rPr>
      <w:rFonts w:eastAsiaTheme="majorEastAsia" w:cstheme="majorBidi"/>
      <w:color w:val="272727" w:themeColor="text1" w:themeTint="D8"/>
    </w:rPr>
  </w:style>
  <w:style w:type="paragraph" w:styleId="Title">
    <w:name w:val="Title"/>
    <w:basedOn w:val="Normal"/>
    <w:next w:val="Normal"/>
    <w:link w:val="TitleChar"/>
    <w:uiPriority w:val="10"/>
    <w:qFormat/>
    <w:rsid w:val="00117D95"/>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117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D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17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D95"/>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17D95"/>
    <w:rPr>
      <w:i/>
      <w:iCs/>
      <w:color w:val="404040" w:themeColor="text1" w:themeTint="BF"/>
    </w:rPr>
  </w:style>
  <w:style w:type="paragraph" w:styleId="ListParagraph">
    <w:name w:val="List Paragraph"/>
    <w:basedOn w:val="Normal"/>
    <w:uiPriority w:val="34"/>
    <w:qFormat/>
    <w:rsid w:val="00117D95"/>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117D95"/>
    <w:rPr>
      <w:i/>
      <w:iCs/>
      <w:color w:val="0F4761" w:themeColor="accent1" w:themeShade="BF"/>
    </w:rPr>
  </w:style>
  <w:style w:type="paragraph" w:styleId="IntenseQuote">
    <w:name w:val="Intense Quote"/>
    <w:basedOn w:val="Normal"/>
    <w:next w:val="Normal"/>
    <w:link w:val="IntenseQuoteChar"/>
    <w:uiPriority w:val="30"/>
    <w:qFormat/>
    <w:rsid w:val="00117D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17D95"/>
    <w:rPr>
      <w:i/>
      <w:iCs/>
      <w:color w:val="0F4761" w:themeColor="accent1" w:themeShade="BF"/>
    </w:rPr>
  </w:style>
  <w:style w:type="character" w:styleId="IntenseReference">
    <w:name w:val="Intense Reference"/>
    <w:basedOn w:val="DefaultParagraphFont"/>
    <w:uiPriority w:val="32"/>
    <w:qFormat/>
    <w:rsid w:val="00117D95"/>
    <w:rPr>
      <w:b/>
      <w:bCs/>
      <w:smallCaps/>
      <w:color w:val="0F4761" w:themeColor="accent1" w:themeShade="BF"/>
      <w:spacing w:val="5"/>
    </w:rPr>
  </w:style>
  <w:style w:type="paragraph" w:styleId="Footer">
    <w:name w:val="footer"/>
    <w:basedOn w:val="Normal"/>
    <w:link w:val="FooterChar"/>
    <w:uiPriority w:val="99"/>
    <w:unhideWhenUsed/>
    <w:rsid w:val="00192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C6B"/>
    <w:rPr>
      <w:rFonts w:ascii="Calibri" w:eastAsiaTheme="minorEastAsia" w:hAnsi="Calibri"/>
      <w:color w:val="00000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2651</Words>
  <Characters>15115</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Shahzad</dc:creator>
  <cp:keywords/>
  <dc:description/>
  <cp:lastModifiedBy>Taimoor Shahzad</cp:lastModifiedBy>
  <cp:revision>3</cp:revision>
  <dcterms:created xsi:type="dcterms:W3CDTF">2026-10-06T03:16:00Z</dcterms:created>
  <dcterms:modified xsi:type="dcterms:W3CDTF">2026-10-07T04:59:00Z</dcterms:modified>
</cp:coreProperties>
</file>