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5E29" w14:textId="77777777" w:rsidR="00380CCD" w:rsidRPr="00C3547F" w:rsidRDefault="00000000">
      <w:pPr>
        <w:spacing w:line="288" w:lineRule="auto"/>
        <w:jc w:val="center"/>
        <w:rPr>
          <w:rFonts w:eastAsia="SimHei"/>
          <w:b/>
          <w:color w:val="000000"/>
          <w:sz w:val="24"/>
        </w:rPr>
      </w:pPr>
      <w:r w:rsidRPr="00C3547F">
        <w:rPr>
          <w:rFonts w:eastAsia="SimHei"/>
          <w:b/>
          <w:color w:val="000000"/>
          <w:sz w:val="24"/>
        </w:rPr>
        <w:t>Representations of ETF and Fund Allocation Information:</w:t>
      </w:r>
    </w:p>
    <w:p w14:paraId="720C1F7C" w14:textId="77777777" w:rsidR="00380CCD" w:rsidRPr="00C3547F" w:rsidRDefault="00000000">
      <w:pPr>
        <w:spacing w:after="120" w:line="288" w:lineRule="auto"/>
        <w:jc w:val="center"/>
        <w:rPr>
          <w:rFonts w:eastAsia="SimHei"/>
          <w:b/>
          <w:color w:val="000000"/>
          <w:sz w:val="24"/>
        </w:rPr>
      </w:pPr>
      <w:bookmarkStart w:id="0" w:name="OLE_LINK4"/>
      <w:r w:rsidRPr="00C3547F">
        <w:rPr>
          <w:rFonts w:eastAsia="SimHei"/>
          <w:b/>
          <w:color w:val="000000"/>
          <w:sz w:val="24"/>
        </w:rPr>
        <w:t xml:space="preserve">A Historical Review </w:t>
      </w:r>
      <w:bookmarkEnd w:id="0"/>
      <w:r w:rsidRPr="00C3547F">
        <w:rPr>
          <w:rFonts w:eastAsia="SimHei"/>
          <w:b/>
          <w:color w:val="000000"/>
          <w:sz w:val="24"/>
        </w:rPr>
        <w:t>and Comparative Analysis</w:t>
      </w:r>
    </w:p>
    <w:p w14:paraId="5620DB05" w14:textId="77777777" w:rsidR="00987A9A" w:rsidRPr="00C3547F" w:rsidRDefault="00987A9A" w:rsidP="004A51A6">
      <w:pPr>
        <w:spacing w:before="200" w:after="80" w:line="240" w:lineRule="auto"/>
        <w:rPr>
          <w:rFonts w:eastAsia="SimHei"/>
          <w:b/>
          <w:color w:val="000000"/>
          <w:sz w:val="24"/>
        </w:rPr>
      </w:pPr>
      <w:r w:rsidRPr="00C3547F">
        <w:rPr>
          <w:rFonts w:eastAsia="SimHei"/>
          <w:b/>
          <w:color w:val="000000"/>
          <w:sz w:val="24"/>
        </w:rPr>
        <w:t>A Historical Review</w:t>
      </w:r>
      <w:r w:rsidRPr="00C3547F">
        <w:rPr>
          <w:rFonts w:eastAsia="SimHei" w:hint="eastAsia"/>
          <w:b/>
          <w:color w:val="000000"/>
          <w:sz w:val="24"/>
        </w:rPr>
        <w:t xml:space="preserve">: </w:t>
      </w:r>
    </w:p>
    <w:p w14:paraId="457F3C23" w14:textId="77777777" w:rsidR="004A51A6" w:rsidRDefault="004A51A6" w:rsidP="004A51A6">
      <w:pPr>
        <w:spacing w:before="200" w:after="80" w:line="240" w:lineRule="auto"/>
        <w:rPr>
          <w:color w:val="000000"/>
          <w:sz w:val="20"/>
        </w:rPr>
      </w:pPr>
      <w:r>
        <w:rPr>
          <w:color w:val="000000"/>
          <w:sz w:val="20"/>
        </w:rPr>
        <w:t>Fund portfolio allocation data is a core information asset in global financial markets.</w:t>
      </w:r>
      <w:r w:rsidRPr="004A51A6">
        <w:rPr>
          <w:color w:val="000000"/>
          <w:sz w:val="20"/>
        </w:rPr>
        <w:t xml:space="preserve"> </w:t>
      </w:r>
      <w:r>
        <w:rPr>
          <w:color w:val="000000"/>
          <w:sz w:val="20"/>
        </w:rPr>
        <w:t xml:space="preserve">Its recording and representation have evolved from unstructured paper narratives to standardized structured data and semantic models, driven by regulatory transparency mandates, market efficiency demands, and </w:t>
      </w:r>
      <w:r>
        <w:rPr>
          <w:rFonts w:hint="eastAsia"/>
          <w:color w:val="000000"/>
          <w:sz w:val="20"/>
          <w:lang w:eastAsia="zh-CN"/>
        </w:rPr>
        <w:t>computer technology</w:t>
      </w:r>
      <w:r>
        <w:rPr>
          <w:color w:val="000000"/>
          <w:sz w:val="20"/>
        </w:rPr>
        <w:t>.</w:t>
      </w:r>
    </w:p>
    <w:p w14:paraId="3D32E514" w14:textId="77777777" w:rsidR="004A51A6" w:rsidRPr="00882509" w:rsidRDefault="004A51A6" w:rsidP="004A51A6">
      <w:pPr>
        <w:pStyle w:val="ListParagraph"/>
        <w:numPr>
          <w:ilvl w:val="0"/>
          <w:numId w:val="10"/>
        </w:numPr>
        <w:spacing w:before="200" w:after="80" w:line="240" w:lineRule="auto"/>
        <w:rPr>
          <w:rFonts w:eastAsia="SimHei"/>
          <w:b/>
          <w:color w:val="000000"/>
          <w:sz w:val="24"/>
        </w:rPr>
      </w:pPr>
      <w:r>
        <w:rPr>
          <w:rFonts w:eastAsia="SimHei"/>
          <w:b/>
          <w:color w:val="000000"/>
          <w:sz w:val="24"/>
        </w:rPr>
        <w:t>Brief History</w:t>
      </w:r>
    </w:p>
    <w:p w14:paraId="648B0C5A" w14:textId="67440A13" w:rsidR="004A51A6" w:rsidRDefault="002C2143" w:rsidP="004A51A6">
      <w:pPr>
        <w:spacing w:before="200" w:after="80" w:line="240" w:lineRule="auto"/>
        <w:rPr>
          <w:color w:val="000000"/>
          <w:sz w:val="20"/>
        </w:rPr>
      </w:pPr>
      <w:r>
        <w:rPr>
          <w:rFonts w:hint="eastAsia"/>
          <w:color w:val="000000"/>
          <w:sz w:val="20"/>
          <w:lang w:eastAsia="zh-CN"/>
        </w:rPr>
        <w:t>In the past 90 years, f</w:t>
      </w:r>
      <w:r w:rsidR="004A51A6">
        <w:rPr>
          <w:color w:val="000000"/>
          <w:sz w:val="20"/>
        </w:rPr>
        <w:t>und allocation disclosure has evolved from unstructured narrative reports to standardized, machine-readable formats. Under U.S. regulation, the Investment Company Act of 1940 required registered funds to disclose portfolio holdings in periodic shareholder reports and prospectuses [7], and from 2004 in quarterly Form N-Q filings [8]; for decades these records were plain-text tables designed for human reading. The first U.S. ETF (SPDR S&amp;P 500 ETF Trust, SPY, 1993) introduced daily portfolio transparency [1], formalized for U.S. ETFs in 2019 by SEC Rule 6c-11 [12], while the SEC’s EDGAR system (fully phased in by 1996) moved filings online [6]. Regulators then added machine-readable formats: XBRL-tagged prospectus summaries in 2009 [9] and, in 2016, Forms N-PORT and N-CEN, which replaced text-based reports with XML filings — N-PORT reports monthly position-level holdings data filed quarterly, and N-CEN is an annual fund census [10, 11]. In parallel, the Financial Industry Business Ontology (FIBO) standardized fund and security semantics [2, 3], and Browne et al. demonstrated FIBO-based reporting of dated fund-level information and allocation summaries; commercial databases such as Morningstar aggregate these disclosures for cross-fund research [4, 5]. Because our sample ETFs are Canadian, the U.S. regulatory examples serve as background: they establish the disclosure patterns — dated, structured, provider-published allocation percentages — that motivate our model.</w:t>
      </w:r>
    </w:p>
    <w:p w14:paraId="4565BB9A" w14:textId="77777777" w:rsidR="00882509" w:rsidRPr="00882509" w:rsidRDefault="00882509" w:rsidP="00882509">
      <w:pPr>
        <w:pStyle w:val="ListParagraph"/>
        <w:numPr>
          <w:ilvl w:val="0"/>
          <w:numId w:val="10"/>
        </w:numPr>
        <w:spacing w:before="200" w:after="80" w:line="240" w:lineRule="auto"/>
        <w:rPr>
          <w:rFonts w:eastAsia="SimHei"/>
          <w:b/>
          <w:color w:val="000000"/>
          <w:sz w:val="24"/>
        </w:rPr>
      </w:pPr>
      <w:r w:rsidRPr="00882509">
        <w:rPr>
          <w:rFonts w:eastAsia="SimHei" w:hint="eastAsia"/>
          <w:b/>
          <w:color w:val="000000"/>
          <w:sz w:val="24"/>
        </w:rPr>
        <w:t>Summary</w:t>
      </w:r>
    </w:p>
    <w:p w14:paraId="6ADAD3CA" w14:textId="77777777" w:rsidR="003F54EF" w:rsidRPr="00882509" w:rsidRDefault="003F54EF" w:rsidP="00882509">
      <w:pPr>
        <w:spacing w:before="200" w:after="80" w:line="240" w:lineRule="auto"/>
        <w:ind w:left="360"/>
        <w:rPr>
          <w:color w:val="000000"/>
          <w:sz w:val="20"/>
          <w:lang w:val="en-CA" w:eastAsia="zh-CN"/>
        </w:rPr>
      </w:pPr>
      <w:r>
        <w:rPr>
          <w:color w:val="000000"/>
          <w:sz w:val="20"/>
          <w:lang w:val="en-CA" w:eastAsia="zh-CN"/>
        </w:rPr>
        <w:t>Table 1 compares the representations most relevant to our model. Throughout, we keep two concepts distinct: Holding, a customer’s investment in an ETF at a portfolio observation date, and AllocationEntry, a disclosed percentage (e.g., “technology: 30%”) within a dated AllocationSnapshot published by the ETF provider.</w:t>
      </w:r>
    </w:p>
    <w:p w14:paraId="67FBEC35" w14:textId="77777777" w:rsidR="00987A9A" w:rsidRDefault="00987A9A" w:rsidP="00987A9A">
      <w:pPr>
        <w:spacing w:before="200" w:after="80" w:line="240" w:lineRule="auto"/>
        <w:rPr>
          <w:color w:val="000000"/>
          <w:sz w:val="20"/>
          <w:lang w:val="en-CA" w:eastAsia="zh-CN"/>
        </w:rPr>
      </w:pPr>
    </w:p>
    <w:p w14:paraId="46A1A8F6" w14:textId="77777777" w:rsidR="00987A9A" w:rsidRPr="00987A9A" w:rsidRDefault="00987A9A" w:rsidP="00987A9A">
      <w:pPr>
        <w:spacing w:before="200" w:after="80" w:line="240" w:lineRule="auto"/>
        <w:rPr>
          <w:color w:val="000000"/>
          <w:sz w:val="20"/>
          <w:lang w:eastAsia="zh-CN"/>
        </w:rPr>
      </w:pPr>
    </w:p>
    <w:p w14:paraId="42DBBAEF" w14:textId="77777777" w:rsidR="00987A9A" w:rsidRDefault="00987A9A">
      <w:pPr>
        <w:spacing w:after="200" w:line="276" w:lineRule="auto"/>
        <w:jc w:val="left"/>
        <w:rPr>
          <w:b/>
          <w:color w:val="000000"/>
          <w:sz w:val="21"/>
        </w:rPr>
      </w:pPr>
      <w:r>
        <w:rPr>
          <w:b/>
          <w:color w:val="000000"/>
          <w:sz w:val="21"/>
        </w:rPr>
        <w:br w:type="page"/>
      </w:r>
    </w:p>
    <w:p w14:paraId="029F4D4D" w14:textId="77777777" w:rsidR="00E663E4" w:rsidRPr="006613D8" w:rsidRDefault="00000000" w:rsidP="00E663E4">
      <w:pPr>
        <w:spacing w:before="200" w:after="80" w:line="240" w:lineRule="auto"/>
        <w:jc w:val="center"/>
        <w:rPr>
          <w:rFonts w:eastAsia="SimHei"/>
          <w:b/>
          <w:color w:val="000000"/>
          <w:sz w:val="24"/>
        </w:rPr>
      </w:pPr>
      <w:r w:rsidRPr="006613D8">
        <w:rPr>
          <w:rFonts w:eastAsia="SimHei"/>
          <w:b/>
          <w:color w:val="000000"/>
          <w:sz w:val="24"/>
        </w:rPr>
        <w:lastRenderedPageBreak/>
        <w:t>Table 1 — Comparison of fund allocation representation paradigms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1814"/>
        <w:gridCol w:w="1814"/>
        <w:gridCol w:w="2269"/>
        <w:gridCol w:w="1587"/>
      </w:tblGrid>
      <w:tr w:rsidR="00886375" w14:paraId="7B7EE575" w14:textId="77777777"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34653AB8" w14:textId="77777777" w:rsidR="00886375" w:rsidRPr="006613D8" w:rsidRDefault="00000000">
            <w:pPr>
              <w:spacing w:before="20" w:after="20" w:line="240" w:lineRule="auto"/>
              <w:jc w:val="center"/>
              <w:rPr>
                <w:rFonts w:eastAsia="SimHei"/>
                <w:b/>
                <w:color w:val="000000"/>
                <w:sz w:val="24"/>
              </w:rPr>
            </w:pPr>
            <w:r w:rsidRPr="006613D8">
              <w:rPr>
                <w:rFonts w:eastAsia="SimHei"/>
                <w:b/>
                <w:color w:val="000000"/>
                <w:sz w:val="24"/>
              </w:rPr>
              <w:t>Representation</w:t>
            </w:r>
          </w:p>
        </w:tc>
        <w:tc>
          <w:tcPr>
            <w:tcW w:w="1814" w:type="dxa"/>
            <w:vAlign w:val="center"/>
          </w:tcPr>
          <w:p w14:paraId="2A8A8415" w14:textId="77777777" w:rsidR="00886375" w:rsidRPr="006613D8" w:rsidRDefault="00000000">
            <w:pPr>
              <w:spacing w:before="20" w:after="20" w:line="240" w:lineRule="auto"/>
              <w:jc w:val="center"/>
              <w:rPr>
                <w:rFonts w:eastAsia="SimHei"/>
                <w:b/>
                <w:color w:val="000000"/>
                <w:sz w:val="24"/>
              </w:rPr>
            </w:pPr>
            <w:r w:rsidRPr="006613D8">
              <w:rPr>
                <w:rFonts w:eastAsia="SimHei"/>
                <w:b/>
                <w:color w:val="000000"/>
                <w:sz w:val="24"/>
              </w:rPr>
              <w:t>What It Captures</w:t>
            </w:r>
          </w:p>
        </w:tc>
        <w:tc>
          <w:tcPr>
            <w:tcW w:w="1814" w:type="dxa"/>
            <w:vAlign w:val="center"/>
          </w:tcPr>
          <w:p w14:paraId="1EF9DEF1" w14:textId="77777777" w:rsidR="00886375" w:rsidRPr="006613D8" w:rsidRDefault="00000000">
            <w:pPr>
              <w:spacing w:before="20" w:after="20" w:line="240" w:lineRule="auto"/>
              <w:jc w:val="center"/>
              <w:rPr>
                <w:rFonts w:eastAsia="SimHei"/>
                <w:b/>
                <w:color w:val="000000"/>
                <w:sz w:val="24"/>
              </w:rPr>
            </w:pPr>
            <w:r w:rsidRPr="006613D8">
              <w:rPr>
                <w:rFonts w:eastAsia="SimHei"/>
                <w:b/>
                <w:color w:val="000000"/>
                <w:sz w:val="24"/>
              </w:rPr>
              <w:t>What It Leaves Out</w:t>
            </w:r>
          </w:p>
        </w:tc>
        <w:tc>
          <w:tcPr>
            <w:tcW w:w="2268" w:type="dxa"/>
            <w:vAlign w:val="center"/>
          </w:tcPr>
          <w:p w14:paraId="72EA77B3" w14:textId="77777777" w:rsidR="00886375" w:rsidRPr="006613D8" w:rsidRDefault="00000000">
            <w:pPr>
              <w:spacing w:before="20" w:after="20" w:line="240" w:lineRule="auto"/>
              <w:jc w:val="center"/>
              <w:rPr>
                <w:rFonts w:eastAsia="SimHei"/>
                <w:b/>
                <w:color w:val="000000"/>
                <w:sz w:val="24"/>
              </w:rPr>
            </w:pPr>
            <w:r w:rsidRPr="006613D8">
              <w:rPr>
                <w:rFonts w:eastAsia="SimHei"/>
                <w:b/>
                <w:color w:val="000000"/>
                <w:sz w:val="24"/>
              </w:rPr>
              <w:t>What We Can Learn for Our Design</w:t>
            </w:r>
          </w:p>
        </w:tc>
        <w:tc>
          <w:tcPr>
            <w:tcW w:w="1587" w:type="dxa"/>
            <w:vAlign w:val="center"/>
          </w:tcPr>
          <w:p w14:paraId="27FEF80D" w14:textId="77777777" w:rsidR="00886375" w:rsidRPr="006613D8" w:rsidRDefault="00000000">
            <w:pPr>
              <w:spacing w:before="20" w:after="20" w:line="240" w:lineRule="auto"/>
              <w:jc w:val="center"/>
              <w:rPr>
                <w:rFonts w:eastAsia="SimHei"/>
                <w:b/>
                <w:color w:val="000000"/>
                <w:sz w:val="24"/>
              </w:rPr>
            </w:pPr>
            <w:r w:rsidRPr="006613D8">
              <w:rPr>
                <w:rFonts w:eastAsia="SimHei"/>
                <w:b/>
                <w:color w:val="000000"/>
                <w:sz w:val="24"/>
              </w:rPr>
              <w:t>Related ERD Entities</w:t>
            </w:r>
          </w:p>
        </w:tc>
      </w:tr>
      <w:tr w:rsidR="00886375" w14:paraId="0283DEA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E35B86F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Regulatory narrative filings (U.S.; N-SAR / N-Q [7, 8])</w:t>
            </w:r>
          </w:p>
        </w:tc>
        <w:tc>
          <w:tcPr>
            <w:tcW w:w="1814" w:type="dxa"/>
            <w:vAlign w:val="center"/>
          </w:tcPr>
          <w:p w14:paraId="7DF148C5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Audited holdings at reporting dates; the fund–security relationship</w:t>
            </w:r>
          </w:p>
        </w:tc>
        <w:tc>
          <w:tcPr>
            <w:tcW w:w="1814" w:type="dxa"/>
            <w:vAlign w:val="center"/>
          </w:tcPr>
          <w:p w14:paraId="2C81B497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Unstructured; manual extraction; holdings not linked to allocation categories</w:t>
            </w:r>
          </w:p>
        </w:tc>
        <w:tc>
          <w:tcPr>
            <w:tcW w:w="2268" w:type="dxa"/>
            <w:vAlign w:val="center"/>
          </w:tcPr>
          <w:p w14:paraId="06F9C4A0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Keep a disclosure separate from its entries; our model records disclosed percentages, not full holdings</w:t>
            </w:r>
          </w:p>
        </w:tc>
        <w:tc>
          <w:tcPr>
            <w:tcW w:w="1587" w:type="dxa"/>
            <w:vAlign w:val="center"/>
          </w:tcPr>
          <w:p w14:paraId="36F8D158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ETF; AllocationSnapshot (dated disclosure)</w:t>
            </w:r>
          </w:p>
        </w:tc>
      </w:tr>
      <w:tr w:rsidR="00886375" w14:paraId="7533CEF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8029E84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Daily ETF website disclosures (Rule 6c-11 [12, 1])</w:t>
            </w:r>
          </w:p>
        </w:tc>
        <w:tc>
          <w:tcPr>
            <w:tcW w:w="1814" w:type="dxa"/>
            <w:vAlign w:val="center"/>
          </w:tcPr>
          <w:p w14:paraId="3787F79C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Provider-published daily basket: securities, weights, publication date</w:t>
            </w:r>
          </w:p>
        </w:tc>
        <w:tc>
          <w:tcPr>
            <w:tcW w:w="1814" w:type="dxa"/>
            <w:vAlign w:val="center"/>
          </w:tcPr>
          <w:p w14:paraId="7632FB5A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No uniform schema; no category or classification links; source versions not tracked</w:t>
            </w:r>
          </w:p>
        </w:tc>
        <w:tc>
          <w:tcPr>
            <w:tcW w:w="2268" w:type="dxa"/>
            <w:vAlign w:val="center"/>
          </w:tcPr>
          <w:p w14:paraId="1CE1AA2D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Model each disclosure as AllocationSnapshot (ETF + date + dimension); preserve the source in SourceDocument</w:t>
            </w:r>
          </w:p>
        </w:tc>
        <w:tc>
          <w:tcPr>
            <w:tcW w:w="1587" w:type="dxa"/>
            <w:vAlign w:val="center"/>
          </w:tcPr>
          <w:p w14:paraId="184A4B34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ETFProvider, AllocationSnapshot, AllocationEntry, AllocationDimension, SourceDocument</w:t>
            </w:r>
          </w:p>
        </w:tc>
      </w:tr>
      <w:tr w:rsidR="00886375" w14:paraId="7440221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F98126D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Structured regulatory filings (U.S.; N-PORT / N-CEN [10, 11])</w:t>
            </w:r>
          </w:p>
        </w:tc>
        <w:tc>
          <w:tcPr>
            <w:tcW w:w="1814" w:type="dxa"/>
            <w:vAlign w:val="center"/>
          </w:tcPr>
          <w:p w14:paraId="6807D60F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N-PORT: standardized monthly position-level holdings; N-CEN: annual fund census</w:t>
            </w:r>
          </w:p>
        </w:tc>
        <w:tc>
          <w:tcPr>
            <w:tcW w:w="1814" w:type="dxa"/>
            <w:vAlign w:val="center"/>
          </w:tcPr>
          <w:p w14:paraId="0FABDDF6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Regulatory schedules and a 60-day lag; not daily provider disclosures</w:t>
            </w:r>
          </w:p>
        </w:tc>
        <w:tc>
          <w:tcPr>
            <w:tcW w:w="2268" w:type="dxa"/>
            <w:vAlign w:val="center"/>
          </w:tcPr>
          <w:p w14:paraId="4F6ED80B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Structured, dated disclosure is feasible; we model provider-published percentages, not filing schedules</w:t>
            </w:r>
          </w:p>
        </w:tc>
        <w:tc>
          <w:tcPr>
            <w:tcW w:w="1587" w:type="dxa"/>
            <w:vAlign w:val="center"/>
          </w:tcPr>
          <w:p w14:paraId="6A63083E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ETF; AllocationSnapshot (structured, dated)</w:t>
            </w:r>
          </w:p>
        </w:tc>
      </w:tr>
      <w:tr w:rsidR="00886375" w14:paraId="05F559F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B68B7F3" w14:textId="7F11568D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FIBO semantic ontology (incl. Browne et al. [2, 3])</w:t>
            </w:r>
          </w:p>
        </w:tc>
        <w:tc>
          <w:tcPr>
            <w:tcW w:w="1814" w:type="dxa"/>
            <w:vAlign w:val="center"/>
          </w:tcPr>
          <w:p w14:paraId="5B65DF2F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Formal fund and security semantics; Browne et al.: dated fund information and allocation summaries</w:t>
            </w:r>
          </w:p>
        </w:tc>
        <w:tc>
          <w:tcPr>
            <w:tcW w:w="1814" w:type="dxa"/>
            <w:vAlign w:val="center"/>
          </w:tcPr>
          <w:p w14:paraId="6E2FFC37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Conceptual only; no instance-level allocation entries</w:t>
            </w:r>
          </w:p>
        </w:tc>
        <w:tc>
          <w:tcPr>
            <w:tcW w:w="2268" w:type="dxa"/>
            <w:vAlign w:val="center"/>
          </w:tcPr>
          <w:p w14:paraId="41EBCAA2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Reuse core semantics; add an explicit pattern linking ETF, date, entries, categories, classification context, source</w:t>
            </w:r>
          </w:p>
        </w:tc>
        <w:tc>
          <w:tcPr>
            <w:tcW w:w="1587" w:type="dxa"/>
            <w:vAlign w:val="center"/>
          </w:tcPr>
          <w:p w14:paraId="0DC97E0C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ETF, ETFIdentifier, ClassificationScheme, AllocationCategory</w:t>
            </w:r>
          </w:p>
        </w:tc>
      </w:tr>
      <w:tr w:rsidR="00886375" w14:paraId="2E80A3B2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08A31A0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Commercial aggregated databases (e.g., Morningstar [4, 5])</w:t>
            </w:r>
          </w:p>
        </w:tc>
        <w:tc>
          <w:tcPr>
            <w:tcW w:w="1814" w:type="dxa"/>
            <w:vAlign w:val="center"/>
          </w:tcPr>
          <w:p w14:paraId="409EA47C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Normalized holdings and category data across funds</w:t>
            </w:r>
          </w:p>
        </w:tc>
        <w:tc>
          <w:tcPr>
            <w:tcW w:w="1814" w:type="dxa"/>
            <w:vAlign w:val="center"/>
          </w:tcPr>
          <w:p w14:paraId="21190F54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Proprietary classification logic; limited per-entry source and date traceability</w:t>
            </w:r>
          </w:p>
        </w:tc>
        <w:tc>
          <w:tcPr>
            <w:tcW w:w="2268" w:type="dxa"/>
            <w:vAlign w:val="center"/>
          </w:tcPr>
          <w:p w14:paraId="596DBAAB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Model ClassificationScheme as a separate entity and keep source links</w:t>
            </w:r>
          </w:p>
        </w:tc>
        <w:tc>
          <w:tcPr>
            <w:tcW w:w="1587" w:type="dxa"/>
            <w:vAlign w:val="center"/>
          </w:tcPr>
          <w:p w14:paraId="619F11F4" w14:textId="77777777" w:rsidR="00886375" w:rsidRPr="006613D8" w:rsidRDefault="00000000">
            <w:pPr>
              <w:spacing w:before="20" w:after="20" w:line="240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ETFProvider, ClassificationScheme, AllocationCategory, SourceDocument</w:t>
            </w:r>
          </w:p>
        </w:tc>
      </w:tr>
    </w:tbl>
    <w:p w14:paraId="1814A647" w14:textId="77777777" w:rsidR="00E663E4" w:rsidRPr="00E56CAF" w:rsidRDefault="00E663E4" w:rsidP="00E663E4">
      <w:pPr>
        <w:spacing w:before="200" w:after="80" w:line="240" w:lineRule="auto"/>
        <w:jc w:val="center"/>
        <w:rPr>
          <w:b/>
          <w:color w:val="000000"/>
          <w:sz w:val="21"/>
          <w:lang w:val="en-CA"/>
        </w:rPr>
      </w:pPr>
    </w:p>
    <w:p w14:paraId="6B3BB7A0" w14:textId="77777777" w:rsidR="00380CCD" w:rsidRPr="00E663E4" w:rsidRDefault="00000000" w:rsidP="00E663E4">
      <w:pPr>
        <w:spacing w:before="200" w:after="80" w:line="240" w:lineRule="auto"/>
        <w:jc w:val="center"/>
        <w:rPr>
          <w:b/>
          <w:color w:val="000000"/>
          <w:sz w:val="21"/>
        </w:rPr>
      </w:pPr>
      <w:r>
        <w:rPr>
          <w:rFonts w:eastAsia="SimHei"/>
          <w:b/>
          <w:color w:val="000000"/>
          <w:sz w:val="24"/>
        </w:rPr>
        <w:t>Summary: Implications for Our Model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</w:tblGrid>
      <w:tr w:rsidR="00380CCD" w14:paraId="418B9856" w14:textId="77777777" w:rsidTr="00E663E4">
        <w:trPr>
          <w:cantSplit/>
          <w:jc w:val="center"/>
        </w:trPr>
        <w:tc>
          <w:tcPr>
            <w:tcW w:w="5046" w:type="dxa"/>
          </w:tcPr>
          <w:p w14:paraId="6D005A0D" w14:textId="77777777" w:rsidR="00380CCD" w:rsidRPr="006613D8" w:rsidRDefault="00000000">
            <w:pPr>
              <w:spacing w:before="20" w:after="20" w:line="276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The comparison informs our ERD in three ways:</w:t>
            </w:r>
          </w:p>
        </w:tc>
      </w:tr>
      <w:tr w:rsidR="00380CCD" w14:paraId="34DC6632" w14:textId="77777777" w:rsidTr="00E663E4">
        <w:trPr>
          <w:cantSplit/>
          <w:jc w:val="center"/>
        </w:trPr>
        <w:tc>
          <w:tcPr>
            <w:tcW w:w="5046" w:type="dxa"/>
          </w:tcPr>
          <w:p w14:paraId="235FFF93" w14:textId="77777777" w:rsidR="00380CCD" w:rsidRPr="006613D8" w:rsidRDefault="00000000">
            <w:pPr>
              <w:spacing w:before="20" w:after="20" w:line="276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(1) Holding (a customer’s ETF weight at a holding date) and AllocationEntry (a disclosed percentage within a dated AllocationSnapshot) are modeled as distinct entities;</w:t>
            </w:r>
          </w:p>
        </w:tc>
      </w:tr>
      <w:tr w:rsidR="00380CCD" w14:paraId="48904966" w14:textId="77777777" w:rsidTr="00E663E4">
        <w:trPr>
          <w:cantSplit/>
          <w:jc w:val="center"/>
        </w:trPr>
        <w:tc>
          <w:tcPr>
            <w:tcW w:w="5046" w:type="dxa"/>
          </w:tcPr>
          <w:p w14:paraId="0649640F" w14:textId="77777777" w:rsidR="00380CCD" w:rsidRPr="006613D8" w:rsidRDefault="00000000">
            <w:pPr>
              <w:spacing w:before="20" w:after="20" w:line="276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(2) each AllocationSnapshot links an ETF to an allocation date, dimension, entries, and — where the source provides it — a classification scheme, with SourceDocument preserving the captured source;</w:t>
            </w:r>
          </w:p>
        </w:tc>
      </w:tr>
      <w:tr w:rsidR="00380CCD" w14:paraId="165FDC5A" w14:textId="77777777" w:rsidTr="00E663E4">
        <w:trPr>
          <w:cantSplit/>
          <w:jc w:val="center"/>
        </w:trPr>
        <w:tc>
          <w:tcPr>
            <w:tcW w:w="5046" w:type="dxa"/>
          </w:tcPr>
          <w:p w14:paraId="625C9F80" w14:textId="77777777" w:rsidR="00380CCD" w:rsidRPr="006613D8" w:rsidRDefault="00000000">
            <w:pPr>
              <w:spacing w:before="20" w:after="20" w:line="276" w:lineRule="auto"/>
              <w:jc w:val="left"/>
              <w:rPr>
                <w:color w:val="000000"/>
                <w:sz w:val="20"/>
              </w:rPr>
            </w:pPr>
            <w:r w:rsidRPr="006613D8">
              <w:rPr>
                <w:color w:val="000000"/>
                <w:sz w:val="20"/>
              </w:rPr>
              <w:t>(3) existing representations cover parts of this pattern (e.g., Browne et al.’s FIBO-based reporting of dated fund information), so our contribution is an explicit integration pattern rather than a claim that prior work lacks dates or weights.</w:t>
            </w:r>
          </w:p>
        </w:tc>
      </w:tr>
    </w:tbl>
    <w:p w14:paraId="5183545D" w14:textId="77777777" w:rsidR="00380CCD" w:rsidRPr="006613D8" w:rsidRDefault="00C3547F" w:rsidP="00C3547F">
      <w:pPr>
        <w:spacing w:after="200" w:line="276" w:lineRule="auto"/>
        <w:jc w:val="left"/>
        <w:rPr>
          <w:rFonts w:eastAsia="SimHei"/>
          <w:b/>
          <w:color w:val="000000"/>
          <w:sz w:val="24"/>
        </w:rPr>
      </w:pPr>
      <w:r>
        <w:rPr>
          <w:rFonts w:eastAsia="SimHei"/>
        </w:rPr>
        <w:br w:type="page"/>
      </w:r>
      <w:r w:rsidRPr="006613D8">
        <w:rPr>
          <w:rFonts w:eastAsia="SimHei"/>
          <w:b/>
          <w:color w:val="000000"/>
          <w:sz w:val="24"/>
        </w:rPr>
        <w:lastRenderedPageBreak/>
        <w:t>References</w:t>
      </w:r>
    </w:p>
    <w:p w14:paraId="36484A54" w14:textId="77777777" w:rsidR="00380CCD" w:rsidRDefault="00000000">
      <w:pPr>
        <w:spacing w:after="40" w:line="312" w:lineRule="auto"/>
        <w:ind w:left="340" w:hanging="340"/>
        <w:jc w:val="left"/>
      </w:pPr>
      <w:r>
        <w:rPr>
          <w:color w:val="000000"/>
          <w:sz w:val="20"/>
        </w:rPr>
        <w:t xml:space="preserve">[1] State Street Global Advisors. SPDR S&amp;P 500 ETF Trust (SPY). Available at </w:t>
      </w:r>
      <w:hyperlink r:id="rId8" w:history="1">
        <w:r w:rsidR="00380CCD" w:rsidRPr="00EC4384">
          <w:rPr>
            <w:rStyle w:val="Hyperlink"/>
            <w:sz w:val="20"/>
          </w:rPr>
          <w:t>https://www.ssga.com/us/en/individual/capabilities/spdr-core-equity-etfs/spy-sp-500</w:t>
        </w:r>
      </w:hyperlink>
    </w:p>
    <w:p w14:paraId="0E584A7E" w14:textId="77777777" w:rsidR="00380CCD" w:rsidRDefault="00000000">
      <w:pPr>
        <w:spacing w:after="40" w:line="312" w:lineRule="auto"/>
        <w:ind w:left="340" w:hanging="340"/>
        <w:jc w:val="left"/>
      </w:pPr>
      <w:r>
        <w:rPr>
          <w:color w:val="000000"/>
          <w:sz w:val="20"/>
        </w:rPr>
        <w:t xml:space="preserve">[2] EDM Council. FIBO — Financial Industry Business Ontology. Available at </w:t>
      </w:r>
      <w:hyperlink r:id="rId9" w:history="1">
        <w:r w:rsidR="00380CCD" w:rsidRPr="00EC4384">
          <w:rPr>
            <w:rStyle w:val="Hyperlink"/>
            <w:sz w:val="20"/>
          </w:rPr>
          <w:t>https://edmcouncil.org/frameworks/industry-models/fibo/</w:t>
        </w:r>
      </w:hyperlink>
    </w:p>
    <w:p w14:paraId="6C2E6C4F" w14:textId="77777777" w:rsidR="00380CCD" w:rsidRDefault="00000000">
      <w:pPr>
        <w:spacing w:after="40" w:line="312" w:lineRule="auto"/>
        <w:ind w:left="340" w:hanging="340"/>
        <w:jc w:val="left"/>
      </w:pPr>
      <w:r>
        <w:rPr>
          <w:color w:val="000000"/>
          <w:sz w:val="20"/>
        </w:rPr>
        <w:t xml:space="preserve">[3] Object Management Group. 2017. Financial Industry Business Ontology (FIBO): Fund Business Concepts (FBC) Specification. Available at </w:t>
      </w:r>
      <w:hyperlink r:id="rId10" w:history="1">
        <w:r w:rsidR="00380CCD" w:rsidRPr="00EC4384">
          <w:rPr>
            <w:rStyle w:val="Hyperlink"/>
            <w:sz w:val="20"/>
          </w:rPr>
          <w:t>https://www.omg.org/spec/EDMC-FIBO/FBC/</w:t>
        </w:r>
      </w:hyperlink>
    </w:p>
    <w:p w14:paraId="4BFDF6CE" w14:textId="77777777" w:rsidR="00380CCD" w:rsidRDefault="00000000">
      <w:pPr>
        <w:spacing w:after="40" w:line="312" w:lineRule="auto"/>
        <w:ind w:left="340" w:hanging="340"/>
        <w:jc w:val="left"/>
      </w:pPr>
      <w:r>
        <w:rPr>
          <w:color w:val="000000"/>
          <w:sz w:val="20"/>
        </w:rPr>
        <w:t xml:space="preserve">[4] Morningstar, Inc. Morningstar Category Classification Methodology. Available at </w:t>
      </w:r>
      <w:hyperlink r:id="rId11" w:history="1">
        <w:r w:rsidR="00380CCD" w:rsidRPr="00EC4384">
          <w:rPr>
            <w:rStyle w:val="Hyperlink"/>
            <w:sz w:val="20"/>
          </w:rPr>
          <w:t>https://morningstardirect.morningstar.com/clientcomm/Morningstar_Category_Classification.pdf</w:t>
        </w:r>
      </w:hyperlink>
    </w:p>
    <w:p w14:paraId="68F20A16" w14:textId="77777777" w:rsidR="00380CCD" w:rsidRDefault="00000000">
      <w:pPr>
        <w:spacing w:after="40" w:line="312" w:lineRule="auto"/>
        <w:ind w:left="340" w:hanging="340"/>
        <w:jc w:val="left"/>
      </w:pPr>
      <w:r>
        <w:rPr>
          <w:color w:val="000000"/>
          <w:sz w:val="20"/>
        </w:rPr>
        <w:t xml:space="preserve">[5] Morningstar, Inc. Morningstar Data: Fund Holdings. Available at </w:t>
      </w:r>
      <w:hyperlink r:id="rId12" w:history="1">
        <w:r w:rsidR="00380CCD" w:rsidRPr="00EC4384">
          <w:rPr>
            <w:rStyle w:val="Hyperlink"/>
            <w:sz w:val="20"/>
          </w:rPr>
          <w:t>https://docs-analyticslab.morningstar.com/1.7.1/morningstar_data/holdings.html</w:t>
        </w:r>
      </w:hyperlink>
    </w:p>
    <w:p w14:paraId="2879D23F" w14:textId="77777777" w:rsidR="00380CCD" w:rsidRDefault="00000000">
      <w:pPr>
        <w:spacing w:after="40" w:line="312" w:lineRule="auto"/>
        <w:ind w:left="340" w:hanging="340"/>
        <w:jc w:val="left"/>
      </w:pPr>
      <w:r>
        <w:rPr>
          <w:color w:val="000000"/>
          <w:sz w:val="20"/>
        </w:rPr>
        <w:t xml:space="preserve">[6] U.S. Securities and Exchange Commission. Electronic Data Gathering, Analysis, and Retrieval (EDGAR) System — Regulatory Overview. Available at </w:t>
      </w:r>
      <w:hyperlink r:id="rId13" w:history="1">
        <w:r w:rsidR="00380CCD" w:rsidRPr="00EC4384">
          <w:rPr>
            <w:rStyle w:val="Hyperlink"/>
            <w:sz w:val="20"/>
          </w:rPr>
          <w:t>https://www.sec.gov/info/edgar/regoverview.htm</w:t>
        </w:r>
      </w:hyperlink>
    </w:p>
    <w:p w14:paraId="64839613" w14:textId="77777777" w:rsidR="00380CCD" w:rsidRDefault="00000000">
      <w:pPr>
        <w:spacing w:after="40" w:line="312" w:lineRule="auto"/>
        <w:ind w:left="340" w:hanging="340"/>
        <w:jc w:val="left"/>
      </w:pPr>
      <w:r>
        <w:rPr>
          <w:color w:val="000000"/>
          <w:sz w:val="20"/>
        </w:rPr>
        <w:t xml:space="preserve">[7] U.S. Securities and Exchange Commission. 1940. Investment Company Act of 1940. Available at </w:t>
      </w:r>
      <w:hyperlink r:id="rId14" w:history="1">
        <w:r w:rsidR="00380CCD" w:rsidRPr="00EC4384">
          <w:rPr>
            <w:rStyle w:val="Hyperlink"/>
            <w:sz w:val="20"/>
          </w:rPr>
          <w:t>https://www.sec.gov/about/about-securities-laws</w:t>
        </w:r>
      </w:hyperlink>
    </w:p>
    <w:p w14:paraId="272132EB" w14:textId="77777777" w:rsidR="00380CCD" w:rsidRDefault="00000000">
      <w:pPr>
        <w:spacing w:after="40" w:line="312" w:lineRule="auto"/>
        <w:ind w:left="340" w:hanging="340"/>
        <w:jc w:val="left"/>
      </w:pPr>
      <w:r>
        <w:rPr>
          <w:color w:val="000000"/>
          <w:sz w:val="20"/>
        </w:rPr>
        <w:t xml:space="preserve">[8] U.S. Securities and Exchange Commission. 2004. Shareholder Reports and Quarterly Portfolio Disclosure of Registered Management Investment Companies (Final Rule; Form N-Q). Available at </w:t>
      </w:r>
      <w:hyperlink r:id="rId15" w:history="1">
        <w:r w:rsidR="00380CCD" w:rsidRPr="00EC4384">
          <w:rPr>
            <w:rStyle w:val="Hyperlink"/>
            <w:sz w:val="20"/>
          </w:rPr>
          <w:t>https://www.sec.gov/rules/2004/02/shareholder-reports-and-quarterly-portfolio-disclosure-registered-management</w:t>
        </w:r>
      </w:hyperlink>
    </w:p>
    <w:p w14:paraId="3FAB16F2" w14:textId="77777777" w:rsidR="00380CCD" w:rsidRDefault="00000000">
      <w:pPr>
        <w:spacing w:after="40" w:line="312" w:lineRule="auto"/>
        <w:ind w:left="340" w:hanging="340"/>
        <w:jc w:val="left"/>
      </w:pPr>
      <w:r>
        <w:rPr>
          <w:color w:val="000000"/>
          <w:sz w:val="20"/>
        </w:rPr>
        <w:t xml:space="preserve">[9] U.S. Securities and Exchange Commission. 2009. Interactive Data for Mutual Fund Risk/Return Summary (Final Rule; XBRL tagging). Available at </w:t>
      </w:r>
      <w:hyperlink r:id="rId16" w:history="1">
        <w:r w:rsidR="00380CCD" w:rsidRPr="00EC4384">
          <w:rPr>
            <w:rStyle w:val="Hyperlink"/>
            <w:sz w:val="20"/>
          </w:rPr>
          <w:t>https://www.federalregister.gov/documents/2009/02/19/E9-3359/interactive-data-for-mutual-fund-riskreturn-summary</w:t>
        </w:r>
      </w:hyperlink>
    </w:p>
    <w:p w14:paraId="219C16E3" w14:textId="77777777" w:rsidR="00380CCD" w:rsidRDefault="00000000">
      <w:pPr>
        <w:spacing w:after="40" w:line="312" w:lineRule="auto"/>
        <w:ind w:left="340" w:hanging="340"/>
        <w:jc w:val="left"/>
      </w:pPr>
      <w:r>
        <w:rPr>
          <w:color w:val="000000"/>
          <w:sz w:val="20"/>
        </w:rPr>
        <w:t xml:space="preserve">[10] U.S. Securities and Exchange Commission. 2016. Investment Company Reporting Modernization (Final Rule; Forms N-PORT and N-CEN). Available at </w:t>
      </w:r>
      <w:hyperlink r:id="rId17" w:history="1">
        <w:r w:rsidR="00380CCD" w:rsidRPr="00EC4384">
          <w:rPr>
            <w:rStyle w:val="Hyperlink"/>
            <w:sz w:val="20"/>
          </w:rPr>
          <w:t>https://www.federalregister.gov/documents/2016/11/18/2016-25349/investment-company-reporting-modernization</w:t>
        </w:r>
      </w:hyperlink>
    </w:p>
    <w:p w14:paraId="7C26B530" w14:textId="77777777" w:rsidR="00380CCD" w:rsidRDefault="00000000">
      <w:pPr>
        <w:spacing w:after="40" w:line="312" w:lineRule="auto"/>
        <w:ind w:left="340" w:hanging="340"/>
        <w:jc w:val="left"/>
      </w:pPr>
      <w:r>
        <w:rPr>
          <w:color w:val="000000"/>
          <w:sz w:val="20"/>
        </w:rPr>
        <w:t xml:space="preserve">[11] U.S. Securities and Exchange Commission. 2016. Investment Company Reporting Modernization Rules — Small Entity Compliance Guide. Available at </w:t>
      </w:r>
      <w:hyperlink r:id="rId18" w:history="1">
        <w:r w:rsidR="00380CCD" w:rsidRPr="00EC4384">
          <w:rPr>
            <w:rStyle w:val="Hyperlink"/>
            <w:sz w:val="20"/>
          </w:rPr>
          <w:t>https://www.sec.gov/divisions/investment/guidance/secg-investment-company-reporting-modernization-rules</w:t>
        </w:r>
      </w:hyperlink>
    </w:p>
    <w:p w14:paraId="7401F183" w14:textId="77777777" w:rsidR="00380CCD" w:rsidRDefault="00000000">
      <w:pPr>
        <w:spacing w:after="40" w:line="312" w:lineRule="auto"/>
        <w:ind w:left="340" w:hanging="340"/>
        <w:jc w:val="left"/>
      </w:pPr>
      <w:r>
        <w:rPr>
          <w:color w:val="000000"/>
          <w:sz w:val="20"/>
        </w:rPr>
        <w:t xml:space="preserve">[12] U.S. Securities and Exchange Commission. 2019. Exchange-Traded Funds (Final Rule; Rule 6c-11). Available at </w:t>
      </w:r>
      <w:hyperlink r:id="rId19" w:history="1">
        <w:r w:rsidR="00380CCD" w:rsidRPr="00EC4384">
          <w:rPr>
            <w:rStyle w:val="Hyperlink"/>
            <w:sz w:val="20"/>
          </w:rPr>
          <w:t>https://www.federalregister.gov/documents/2019/10/24/2019-21250/exchange-traded-funds</w:t>
        </w:r>
      </w:hyperlink>
    </w:p>
    <w:p w14:paraId="099B3132" w14:textId="30F1BB77" w:rsidR="00380CCD" w:rsidRDefault="00380CCD">
      <w:pPr>
        <w:spacing w:after="40" w:line="312" w:lineRule="auto"/>
        <w:ind w:left="340" w:hanging="340"/>
        <w:jc w:val="left"/>
      </w:pPr>
    </w:p>
    <w:sectPr w:rsidR="00380CCD" w:rsidSect="00034616">
      <w:footerReference w:type="default" r:id="rId2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4EA70" w14:textId="77777777" w:rsidR="00DC5A96" w:rsidRDefault="00DC5A96">
      <w:pPr>
        <w:spacing w:line="240" w:lineRule="auto"/>
      </w:pPr>
      <w:r>
        <w:separator/>
      </w:r>
    </w:p>
  </w:endnote>
  <w:endnote w:type="continuationSeparator" w:id="0">
    <w:p w14:paraId="4C47F29E" w14:textId="77777777" w:rsidR="00DC5A96" w:rsidRDefault="00DC5A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46662" w14:textId="77777777" w:rsidR="00380CCD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083CB" w14:textId="77777777" w:rsidR="00DC5A96" w:rsidRDefault="00DC5A96">
      <w:pPr>
        <w:spacing w:line="240" w:lineRule="auto"/>
      </w:pPr>
      <w:r>
        <w:separator/>
      </w:r>
    </w:p>
  </w:footnote>
  <w:footnote w:type="continuationSeparator" w:id="0">
    <w:p w14:paraId="5BE6DAFE" w14:textId="77777777" w:rsidR="00DC5A96" w:rsidRDefault="00DC5A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8395E"/>
    <w:multiLevelType w:val="hybridMultilevel"/>
    <w:tmpl w:val="5074DE7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A1BC3"/>
    <w:multiLevelType w:val="hybridMultilevel"/>
    <w:tmpl w:val="2AE051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692206">
    <w:abstractNumId w:val="8"/>
  </w:num>
  <w:num w:numId="2" w16cid:durableId="1810240942">
    <w:abstractNumId w:val="6"/>
  </w:num>
  <w:num w:numId="3" w16cid:durableId="1672878897">
    <w:abstractNumId w:val="5"/>
  </w:num>
  <w:num w:numId="4" w16cid:durableId="895894007">
    <w:abstractNumId w:val="4"/>
  </w:num>
  <w:num w:numId="5" w16cid:durableId="163329074">
    <w:abstractNumId w:val="7"/>
  </w:num>
  <w:num w:numId="6" w16cid:durableId="740255787">
    <w:abstractNumId w:val="3"/>
  </w:num>
  <w:num w:numId="7" w16cid:durableId="469834064">
    <w:abstractNumId w:val="2"/>
  </w:num>
  <w:num w:numId="8" w16cid:durableId="2069574678">
    <w:abstractNumId w:val="1"/>
  </w:num>
  <w:num w:numId="9" w16cid:durableId="1911620632">
    <w:abstractNumId w:val="0"/>
  </w:num>
  <w:num w:numId="10" w16cid:durableId="1516531536">
    <w:abstractNumId w:val="10"/>
  </w:num>
  <w:num w:numId="11" w16cid:durableId="697238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A6E"/>
    <w:rsid w:val="0015074B"/>
    <w:rsid w:val="001D6BAA"/>
    <w:rsid w:val="0029639D"/>
    <w:rsid w:val="002C2143"/>
    <w:rsid w:val="00326F90"/>
    <w:rsid w:val="00380CCD"/>
    <w:rsid w:val="003F54EF"/>
    <w:rsid w:val="00430A51"/>
    <w:rsid w:val="004A51A6"/>
    <w:rsid w:val="005105BA"/>
    <w:rsid w:val="006613D8"/>
    <w:rsid w:val="00670927"/>
    <w:rsid w:val="00687530"/>
    <w:rsid w:val="006C7D2E"/>
    <w:rsid w:val="00752928"/>
    <w:rsid w:val="00773B6E"/>
    <w:rsid w:val="00882509"/>
    <w:rsid w:val="00886375"/>
    <w:rsid w:val="00951F3D"/>
    <w:rsid w:val="00987A9A"/>
    <w:rsid w:val="00AA1D8D"/>
    <w:rsid w:val="00B47730"/>
    <w:rsid w:val="00C3547F"/>
    <w:rsid w:val="00CB0664"/>
    <w:rsid w:val="00DC5A96"/>
    <w:rsid w:val="00E56CAF"/>
    <w:rsid w:val="00E663E4"/>
    <w:rsid w:val="00EC4384"/>
    <w:rsid w:val="00F94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137C4C"/>
  <w14:defaultImageDpi w14:val="300"/>
  <w15:docId w15:val="{82EFE3C8-E20D-41F7-99D0-D0C5CB6B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Times New Roman" w:eastAsia="SimSu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F54EF"/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43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3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43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sga.com/us/en/individual/capabilities/spdr-core-equity-etfs/spy-sp-500" TargetMode="External"/><Relationship Id="rId13" Type="http://schemas.openxmlformats.org/officeDocument/2006/relationships/hyperlink" Target="https://www.sec.gov/info/edgar/regoverview.htm" TargetMode="External"/><Relationship Id="rId18" Type="http://schemas.openxmlformats.org/officeDocument/2006/relationships/hyperlink" Target="https://www.sec.gov/divisions/investment/guidance/secg-investment-company-reporting-modernization-rule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cs-analyticslab.morningstar.com/1.7.1/morningstar_data/holdings.html" TargetMode="External"/><Relationship Id="rId17" Type="http://schemas.openxmlformats.org/officeDocument/2006/relationships/hyperlink" Target="https://www.federalregister.gov/documents/2016/11/18/2016-25349/investment-company-reporting-moderniza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ederalregister.gov/documents/2009/02/19/E9-3359/interactive-data-for-mutual-fund-riskreturn-summary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rningstardirect.morningstar.com/clientcomm/Morningstar_Category_Classification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ec.gov/rules/2004/02/shareholder-reports-and-quarterly-portfolio-disclosure-registered-management" TargetMode="External"/><Relationship Id="rId10" Type="http://schemas.openxmlformats.org/officeDocument/2006/relationships/hyperlink" Target="https://www.omg.org/spec/EDMC-FIBO/FBC/" TargetMode="External"/><Relationship Id="rId19" Type="http://schemas.openxmlformats.org/officeDocument/2006/relationships/hyperlink" Target="https://www.federalregister.gov/documents/2019/10/24/2019-21250/exchange-traded-fun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dmcouncil.org/frameworks/industry-models/fibo/" TargetMode="External"/><Relationship Id="rId14" Type="http://schemas.openxmlformats.org/officeDocument/2006/relationships/hyperlink" Target="https://www.sec.gov/about/about-securities-law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1006</Words>
  <Characters>7539</Characters>
  <Application>Microsoft Office Word</Application>
  <DocSecurity>0</DocSecurity>
  <Lines>259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孟宸 李</cp:lastModifiedBy>
  <cp:revision>3</cp:revision>
  <dcterms:created xsi:type="dcterms:W3CDTF">2026-10-06T23:20:00Z</dcterms:created>
  <dcterms:modified xsi:type="dcterms:W3CDTF">2026-10-07T17:46:00Z</dcterms:modified>
  <cp:category/>
</cp:coreProperties>
</file>