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2. Protected Assets and Security Properties</w:t>
      </w:r>
    </w:p>
    <w:p>
      <w:pPr>
        <w:pStyle w:val="BodyText"/>
      </w:pPr>
      <w:r>
        <w:rPr>
          <w:b/>
          <w:bCs/>
        </w:rPr>
        <w:t xml:space="preserve">2.1 Purpose</w:t>
      </w:r>
    </w:p>
    <w:p>
      <w:pPr>
        <w:pStyle w:val="BodyText"/>
      </w:pPr>
      <w:r>
        <w:t xml:space="preserve">This section defines the assets that App Lock is required to protect and the security properties that apply to those assets.</w:t>
      </w:r>
    </w:p>
    <w:p>
      <w:pPr>
        <w:pStyle w:val="BodyText"/>
      </w:pPr>
      <w:r>
        <w:t xml:space="preserve">The assets are ordered by security significance based on the consequences of unauthorized disclosure, modification, or loss of the asset.</w:t>
      </w:r>
    </w:p>
    <w:p>
      <w:pPr>
        <w:pStyle w:val="BodyText"/>
      </w:pPr>
      <w:r>
        <w:t xml:space="preserve">The asset model reflects the current implemented storage and protection architecture. It must not assume that a security property exists merely because it is specified elsewhere in the project.</w:t>
      </w:r>
    </w:p>
    <w:p>
      <w:pPr>
        <w:pStyle w:val="BodyText"/>
      </w:pPr>
      <w:r>
        <w:t xml:space="preserve">The principal security properties considered in this section are:</w:t>
      </w:r>
    </w:p>
    <w:p>
      <w:pPr>
        <w:numPr>
          <w:ilvl w:val="0"/>
          <w:numId w:val="1001"/>
        </w:numPr>
      </w:pPr>
      <w:r>
        <w:t xml:space="preserve">Confidentiality</w:t>
      </w:r>
    </w:p>
    <w:p>
      <w:pPr>
        <w:numPr>
          <w:ilvl w:val="0"/>
          <w:numId w:val="1001"/>
        </w:numPr>
      </w:pPr>
      <w:r>
        <w:t xml:space="preserve">Integrity</w:t>
      </w:r>
    </w:p>
    <w:p>
      <w:pPr>
        <w:numPr>
          <w:ilvl w:val="0"/>
          <w:numId w:val="1001"/>
        </w:numPr>
      </w:pPr>
      <w:r>
        <w:t xml:space="preserve">Availability</w:t>
      </w:r>
    </w:p>
    <w:p>
      <w:pPr>
        <w:numPr>
          <w:ilvl w:val="0"/>
          <w:numId w:val="1001"/>
        </w:numPr>
      </w:pPr>
      <w:r>
        <w:t xml:space="preserve">Authenticity</w:t>
      </w:r>
    </w:p>
    <w:p>
      <w:pPr>
        <w:numPr>
          <w:ilvl w:val="0"/>
          <w:numId w:val="1001"/>
        </w:numPr>
      </w:pPr>
      <w:r>
        <w:t xml:space="preserve">Authorization-state integrity</w:t>
      </w:r>
    </w:p>
    <w:p>
      <w:pPr>
        <w:numPr>
          <w:ilvl w:val="0"/>
          <w:numId w:val="1001"/>
        </w:numPr>
      </w:pPr>
      <w:r>
        <w:t xml:space="preserve">Security-state persistence</w:t>
      </w:r>
    </w:p>
    <w:p>
      <w:pPr>
        <w:pStyle w:val="FirstParagraph"/>
      </w:pPr>
      <w:r>
        <w:t xml:space="preserve">Not every property applies equally to every asset. Each asset is therefore evaluated according to the security consequence associated with its compromise.</w:t>
      </w:r>
    </w:p>
    <w:p>
      <w:pPr>
        <w:pStyle w:val="BodyText"/>
      </w:pPr>
      <w:r>
        <w:rPr>
          <w:b/>
          <w:bCs/>
        </w:rPr>
        <w:t xml:space="preserve">2.2 Asset Classification</w:t>
      </w:r>
    </w:p>
    <w:p>
      <w:pPr>
        <w:pStyle w:val="BodyText"/>
      </w:pPr>
      <w:r>
        <w:t xml:space="preserve">App Lock has six primary categories of security-sensitive assets:</w:t>
      </w:r>
    </w:p>
    <w:p>
      <w:pPr>
        <w:numPr>
          <w:ilvl w:val="0"/>
          <w:numId w:val="1002"/>
        </w:numPr>
      </w:pPr>
      <w:r>
        <w:t xml:space="preserve">User credential.</w:t>
      </w:r>
    </w:p>
    <w:p>
      <w:pPr>
        <w:numPr>
          <w:ilvl w:val="0"/>
          <w:numId w:val="1002"/>
        </w:numPr>
      </w:pPr>
      <w:r>
        <w:t xml:space="preserve">Cryptographic key material.</w:t>
      </w:r>
    </w:p>
    <w:p>
      <w:pPr>
        <w:numPr>
          <w:ilvl w:val="0"/>
          <w:numId w:val="1002"/>
        </w:numPr>
      </w:pPr>
      <w:r>
        <w:t xml:space="preserve">Vault payloads.</w:t>
      </w:r>
    </w:p>
    <w:p>
      <w:pPr>
        <w:numPr>
          <w:ilvl w:val="0"/>
          <w:numId w:val="1002"/>
        </w:numPr>
      </w:pPr>
      <w:r>
        <w:t xml:space="preserve">Intruder photographs.</w:t>
      </w:r>
    </w:p>
    <w:p>
      <w:pPr>
        <w:numPr>
          <w:ilvl w:val="0"/>
          <w:numId w:val="1002"/>
        </w:numPr>
      </w:pPr>
      <w:r>
        <w:t xml:space="preserve">Encrypted application database and its metadata.</w:t>
      </w:r>
    </w:p>
    <w:p>
      <w:pPr>
        <w:numPr>
          <w:ilvl w:val="0"/>
          <w:numId w:val="1002"/>
        </w:numPr>
      </w:pPr>
      <w:r>
        <w:t xml:space="preserve">Security enforcement state and mechanisms.</w:t>
      </w:r>
    </w:p>
    <w:p>
      <w:pPr>
        <w:pStyle w:val="FirstParagraph"/>
      </w:pPr>
      <w:r>
        <w:t xml:space="preserve">The sixth category is intentionally treated as a security asset even though it is not a conventional stored secret. Loss of the enforcement mechanism can directly result in unauthorized access to protected applications.</w:t>
      </w:r>
    </w:p>
    <w:p>
      <w:pPr>
        <w:pStyle w:val="BodyText"/>
      </w:pPr>
      <w:r>
        <w:rPr>
          <w:b/>
          <w:bCs/>
        </w:rPr>
        <w:t xml:space="preserve">2.3 Asset A-001 — User PIN Credential</w:t>
      </w:r>
    </w:p>
    <w:p>
      <w:pPr>
        <w:pStyle w:val="BodyText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The App Lock PIN is the primary application authentication credential.</w:t>
      </w:r>
    </w:p>
    <w:p>
      <w:pPr>
        <w:pStyle w:val="BodyText"/>
      </w:pPr>
      <w:r>
        <w:t xml:space="preserve">The plaintext PIN is not intended to be persisted. The current implementation stores an Argon2id-derived password hash and its salt in the applock_credentials encrypted preference store.</w:t>
      </w:r>
    </w:p>
    <w:p>
      <w:pPr>
        <w:pStyle w:val="BodyText"/>
      </w:pPr>
      <w:r>
        <w:t xml:space="preserve">The credential store is protected by the Android Keystore-backed application master key.</w:t>
      </w:r>
    </w:p>
    <w:p>
      <w:pPr>
        <w:pStyle w:val="BodyText"/>
      </w:pPr>
      <w:r>
        <w:rPr>
          <w:b/>
          <w:bCs/>
        </w:rPr>
        <w:t xml:space="preserve">Security Requirements</w:t>
      </w:r>
    </w:p>
    <w:p>
      <w:pPr>
        <w:pStyle w:val="BodyText"/>
      </w:pPr>
      <w:r>
        <w:t xml:space="preserve">The PIN must provide: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An attacker must not recover the plaintext PIN.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Integrity:</w:t>
      </w:r>
      <w:r>
        <w:t xml:space="preserve"> </w:t>
      </w:r>
      <w:r>
        <w:t xml:space="preserve">An attacker must not modify the credential in a manner that changes the accepted authentication credential without authorization.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Authorization integrity:</w:t>
      </w:r>
      <w:r>
        <w:t xml:space="preserve"> </w:t>
      </w:r>
      <w:r>
        <w:t xml:space="preserve">An attacker must not reset, replace, or change the PIN without demonstrating knowledge of the current credential.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Brute-force resistance:</w:t>
      </w:r>
      <w:r>
        <w:t xml:space="preserve"> </w:t>
      </w:r>
      <w:r>
        <w:t xml:space="preserve">An attacker must not bypass or reset the persistent authentication lockout mechanism to obtain unlimited attempts.</w:t>
      </w:r>
    </w:p>
    <w:p>
      <w:pPr>
        <w:pStyle w:val="FirstParagraph"/>
      </w:pPr>
      <w:r>
        <w:rPr>
          <w:b/>
          <w:bCs/>
        </w:rPr>
        <w:t xml:space="preserve">Security Significance</w:t>
      </w:r>
    </w:p>
    <w:p>
      <w:pPr>
        <w:pStyle w:val="BodyText"/>
      </w:pPr>
      <w:r>
        <w:t xml:space="preserve">Compromise of the PIN can directly defeat the application's authentication boundary because knowledge of the current credential represents authorization as the legitimate App Lock owner.</w:t>
      </w:r>
    </w:p>
    <w:p>
      <w:pPr>
        <w:pStyle w:val="BodyText"/>
      </w:pPr>
      <w:r>
        <w:t xml:space="preserve">The threat model therefore treats the following as credential compromise:</w:t>
      </w:r>
    </w:p>
    <w:p>
      <w:pPr>
        <w:numPr>
          <w:ilvl w:val="0"/>
          <w:numId w:val="1004"/>
        </w:numPr>
      </w:pPr>
      <w:r>
        <w:t xml:space="preserve">Recovery of the plaintext PIN.</w:t>
      </w:r>
    </w:p>
    <w:p>
      <w:pPr>
        <w:numPr>
          <w:ilvl w:val="0"/>
          <w:numId w:val="1004"/>
        </w:numPr>
      </w:pPr>
      <w:r>
        <w:t xml:space="preserve">Recovery of an equivalent usable credential.</w:t>
      </w:r>
    </w:p>
    <w:p>
      <w:pPr>
        <w:numPr>
          <w:ilvl w:val="0"/>
          <w:numId w:val="1004"/>
        </w:numPr>
      </w:pPr>
      <w:r>
        <w:t xml:space="preserve">Unauthorized replacement of the PIN.</w:t>
      </w:r>
    </w:p>
    <w:p>
      <w:pPr>
        <w:numPr>
          <w:ilvl w:val="0"/>
          <w:numId w:val="1004"/>
        </w:numPr>
      </w:pPr>
      <w:r>
        <w:t xml:space="preserve">Unauthorized reset of the PIN.</w:t>
      </w:r>
    </w:p>
    <w:p>
      <w:pPr>
        <w:numPr>
          <w:ilvl w:val="0"/>
          <w:numId w:val="1004"/>
        </w:numPr>
      </w:pPr>
      <w:r>
        <w:t xml:space="preserve">Circumvention of the controls intended to limit credential guessing.</w:t>
      </w:r>
    </w:p>
    <w:p>
      <w:pPr>
        <w:pStyle w:val="FirstParagraph"/>
      </w:pPr>
      <w:r>
        <w:t xml:space="preserve">The legitimate owner is intentionally treated as authorized to modify App Lock security state after successful authentication. This authorization model is examined in greater detail in the threat-actor and trust-boundary sections.</w:t>
      </w:r>
    </w:p>
    <w:p>
      <w:pPr>
        <w:pStyle w:val="BodyText"/>
      </w:pPr>
      <w:r>
        <w:rPr>
          <w:b/>
          <w:bCs/>
        </w:rPr>
        <w:t xml:space="preserve">2.4 Asset A-002 — Cryptographic Key Material</w:t>
      </w:r>
    </w:p>
    <w:p>
      <w:pPr>
        <w:pStyle w:val="BodyText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App Lock relies on cryptographic key material that protects its encrypted application data.</w:t>
      </w:r>
    </w:p>
    <w:p>
      <w:pPr>
        <w:pStyle w:val="BodyText"/>
      </w:pPr>
      <w:r>
        <w:t xml:space="preserve">The current architecture has a common Android Keystore-backed root of trust. Under that root, separate encrypted storage mechanisms protect:</w:t>
      </w:r>
    </w:p>
    <w:p>
      <w:pPr>
        <w:numPr>
          <w:ilvl w:val="0"/>
          <w:numId w:val="1005"/>
        </w:numPr>
      </w:pPr>
      <w:r>
        <w:t xml:space="preserve">The credential store.</w:t>
      </w:r>
    </w:p>
    <w:p>
      <w:pPr>
        <w:numPr>
          <w:ilvl w:val="0"/>
          <w:numId w:val="1005"/>
        </w:numPr>
      </w:pPr>
      <w:r>
        <w:t xml:space="preserve">The SQLCipher database passphrase.</w:t>
      </w:r>
    </w:p>
    <w:p>
      <w:pPr>
        <w:numPr>
          <w:ilvl w:val="0"/>
          <w:numId w:val="1005"/>
        </w:numPr>
      </w:pPr>
      <w:r>
        <w:t xml:space="preserve">The persistent authentication lockout state.</w:t>
      </w:r>
    </w:p>
    <w:p>
      <w:pPr>
        <w:numPr>
          <w:ilvl w:val="0"/>
          <w:numId w:val="1005"/>
        </w:numPr>
      </w:pPr>
      <w:r>
        <w:t xml:space="preserve">Encrypted vault and intruder-photo files.</w:t>
      </w:r>
    </w:p>
    <w:p>
      <w:pPr>
        <w:pStyle w:val="FirstParagraph"/>
      </w:pPr>
      <w:r>
        <w:t xml:space="preserve">The database passphrase is a separate randomly generated 32-byte secret.</w:t>
      </w:r>
    </w:p>
    <w:p>
      <w:pPr>
        <w:pStyle w:val="BodyText"/>
      </w:pPr>
      <w:r>
        <w:t xml:space="preserve">Vault files use encrypted-file protection with independently generated per-file cryptographic material rather than deriving their encryption keys from the user's PIN.</w:t>
      </w:r>
    </w:p>
    <w:p>
      <w:pPr>
        <w:pStyle w:val="BodyText"/>
      </w:pPr>
      <w:r>
        <w:rPr>
          <w:b/>
          <w:bCs/>
        </w:rPr>
        <w:t xml:space="preserve">Security Requirements</w:t>
      </w:r>
    </w:p>
    <w:p>
      <w:pPr>
        <w:pStyle w:val="BodyText"/>
      </w:pPr>
      <w:r>
        <w:t xml:space="preserve">Cryptographic key material must provide: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Usable key material must not be disclosed to unauthorized actors.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Integrity:</w:t>
      </w:r>
      <w:r>
        <w:t xml:space="preserve"> </w:t>
      </w:r>
      <w:r>
        <w:t xml:space="preserve">Key material must not be substituted, modified, or redirected to attacker-controlled cryptographic material without detection.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Isolation:</w:t>
      </w:r>
      <w:r>
        <w:t xml:space="preserve"> </w:t>
      </w:r>
      <w:r>
        <w:t xml:space="preserve">Independent cryptographic secrets must remain logically distinct even where they share the same underlying Keystore root of trust.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Required key material must remain usable to authorized application functionality under supported platform conditions.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Trust-root integrity:</w:t>
      </w:r>
      <w:r>
        <w:t xml:space="preserve"> </w:t>
      </w:r>
      <w:r>
        <w:t xml:space="preserve">The Android Keystore protection boundary must remain intact.</w:t>
      </w:r>
    </w:p>
    <w:p>
      <w:pPr>
        <w:pStyle w:val="FirstParagraph"/>
      </w:pPr>
      <w:r>
        <w:rPr>
          <w:b/>
          <w:bCs/>
        </w:rPr>
        <w:t xml:space="preserve">Security Significance</w:t>
      </w:r>
    </w:p>
    <w:p>
      <w:pPr>
        <w:pStyle w:val="BodyText"/>
      </w:pPr>
      <w:r>
        <w:t xml:space="preserve">Compromise of the cryptographic root of trust or usable subordinate key material can defeat multiple confidentiality protections simultaneously.</w:t>
      </w:r>
    </w:p>
    <w:p>
      <w:pPr>
        <w:pStyle w:val="BodyText"/>
      </w:pPr>
      <w:r>
        <w:t xml:space="preserve">The database passphrase is particularly sensitive because possession of the passphrase permits decryption of the SQLCipher database.</w:t>
      </w:r>
    </w:p>
    <w:p>
      <w:pPr>
        <w:pStyle w:val="BodyText"/>
      </w:pPr>
      <w:r>
        <w:t xml:space="preserve">The Keystore master key is consequently treated as a foundational security asset rather than merely an implementation detail.</w:t>
      </w:r>
    </w:p>
    <w:p>
      <w:pPr>
        <w:pStyle w:val="BodyText"/>
      </w:pPr>
      <w:r>
        <w:rPr>
          <w:b/>
          <w:bCs/>
        </w:rPr>
        <w:t xml:space="preserve">2.5 Asset A-003 — Vault Payloads</w:t>
      </w:r>
    </w:p>
    <w:p>
      <w:pPr>
        <w:pStyle w:val="BodyText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Vault payloads are files that users intentionally move into App Lock for confidential storage.</w:t>
      </w:r>
    </w:p>
    <w:p>
      <w:pPr>
        <w:pStyle w:val="BodyText"/>
      </w:pPr>
      <w:r>
        <w:t xml:space="preserve">The current implementation stores each payload as an encrypted blob in App Lock's private storage.</w:t>
      </w:r>
    </w:p>
    <w:p>
      <w:pPr>
        <w:pStyle w:val="BodyText"/>
      </w:pPr>
      <w:r>
        <w:t xml:space="preserve">Files are identified on the filesystem using random UUID-based names rather than the user's original display names.</w:t>
      </w:r>
    </w:p>
    <w:p>
      <w:pPr>
        <w:pStyle w:val="BodyText"/>
      </w:pPr>
      <w:r>
        <w:t xml:space="preserve">The payload itself is protected using AES-256-GCM-based encrypted-file storage.</w:t>
      </w:r>
    </w:p>
    <w:p>
      <w:pPr>
        <w:pStyle w:val="BodyText"/>
      </w:pPr>
      <w:r>
        <w:rPr>
          <w:b/>
          <w:bCs/>
        </w:rPr>
        <w:t xml:space="preserve">Security Requirements</w:t>
      </w:r>
    </w:p>
    <w:p>
      <w:pPr>
        <w:pStyle w:val="BodyText"/>
      </w:pPr>
      <w:r>
        <w:t xml:space="preserve">Vault payloads require: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Unauthorized actors must not obtain usable plaintext.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Integrity:</w:t>
      </w:r>
      <w:r>
        <w:t xml:space="preserve"> </w:t>
      </w:r>
      <w:r>
        <w:t xml:space="preserve">Unauthorized modification of a payload must not result in acceptance of attacker-controlled or silently corrupted content.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Payload access through the application must require appropriate App Lock authorization.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Metadata protection:</w:t>
      </w:r>
      <w:r>
        <w:t xml:space="preserve"> </w:t>
      </w:r>
      <w:r>
        <w:t xml:space="preserve">The relationship between a payload and its user-visible identity must remain confidential to the extent provided by the encrypted database.</w:t>
      </w:r>
    </w:p>
    <w:p>
      <w:pPr>
        <w:pStyle w:val="FirstParagraph"/>
      </w:pPr>
      <w:r>
        <w:rPr>
          <w:b/>
          <w:bCs/>
        </w:rPr>
        <w:t xml:space="preserve">Security Significance</w:t>
      </w:r>
    </w:p>
    <w:p>
      <w:pPr>
        <w:pStyle w:val="BodyText"/>
      </w:pPr>
      <w:r>
        <w:t xml:space="preserve">Vault payloads are among the highest-value application-managed assets because compromise directly exposes user-selected confidential content.</w:t>
      </w:r>
    </w:p>
    <w:p>
      <w:pPr>
        <w:pStyle w:val="BodyText"/>
      </w:pPr>
      <w:r>
        <w:t xml:space="preserve">The filesystem representation alone must not be treated as equivalent to the protected vault.</w:t>
      </w:r>
    </w:p>
    <w:p>
      <w:pPr>
        <w:pStyle w:val="BodyText"/>
      </w:pPr>
      <w:r>
        <w:t xml:space="preserve">The UUID-based filenames reduce direct filename disclosure, but they do not independently provide confidentiality. Protection depends on the combined security of:</w:t>
      </w:r>
    </w:p>
    <w:p>
      <w:pPr>
        <w:numPr>
          <w:ilvl w:val="0"/>
          <w:numId w:val="1008"/>
        </w:numPr>
      </w:pPr>
      <w:r>
        <w:t xml:space="preserve">The encrypted file.</w:t>
      </w:r>
    </w:p>
    <w:p>
      <w:pPr>
        <w:numPr>
          <w:ilvl w:val="0"/>
          <w:numId w:val="1008"/>
        </w:numPr>
      </w:pPr>
      <w:r>
        <w:t xml:space="preserve">The database index.</w:t>
      </w:r>
    </w:p>
    <w:p>
      <w:pPr>
        <w:numPr>
          <w:ilvl w:val="0"/>
          <w:numId w:val="1008"/>
        </w:numPr>
      </w:pPr>
      <w:r>
        <w:t xml:space="preserve">The cryptographic keys.</w:t>
      </w:r>
    </w:p>
    <w:p>
      <w:pPr>
        <w:numPr>
          <w:ilvl w:val="0"/>
          <w:numId w:val="1008"/>
        </w:numPr>
      </w:pPr>
      <w:r>
        <w:t xml:space="preserve">The application storage boundary.</w:t>
      </w:r>
    </w:p>
    <w:p>
      <w:pPr>
        <w:numPr>
          <w:ilvl w:val="0"/>
          <w:numId w:val="1008"/>
        </w:numPr>
      </w:pPr>
      <w:r>
        <w:t xml:space="preserve">The authorization boundary.</w:t>
      </w:r>
    </w:p>
    <w:p>
      <w:pPr>
        <w:pStyle w:val="FirstParagraph"/>
      </w:pPr>
      <w:r>
        <w:rPr>
          <w:b/>
          <w:bCs/>
        </w:rPr>
        <w:t xml:space="preserve">2.6 Asset A-004 — Intruder Photographs</w:t>
      </w:r>
    </w:p>
    <w:p>
      <w:pPr>
        <w:pStyle w:val="BodyText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Intruder photographs are images captured when authentication failures trigger the application's intruder-capture behavior.</w:t>
      </w:r>
    </w:p>
    <w:p>
      <w:pPr>
        <w:pStyle w:val="BodyText"/>
      </w:pPr>
      <w:r>
        <w:t xml:space="preserve">They are stored using the same encrypted file-storage mechanism as other sensitive application-managed files, but in a separate directory.</w:t>
      </w:r>
    </w:p>
    <w:p>
      <w:pPr>
        <w:pStyle w:val="BodyText"/>
      </w:pPr>
      <w:r>
        <w:t xml:space="preserve">These images may contain identifiable facial information and therefore represent highly sensitive user-associated data.</w:t>
      </w:r>
    </w:p>
    <w:p>
      <w:pPr>
        <w:pStyle w:val="BodyText"/>
      </w:pPr>
      <w:r>
        <w:rPr>
          <w:b/>
          <w:bCs/>
        </w:rPr>
        <w:t xml:space="preserve">Security Requirements</w:t>
      </w:r>
    </w:p>
    <w:p>
      <w:pPr>
        <w:pStyle w:val="BodyText"/>
      </w:pPr>
      <w:r>
        <w:t xml:space="preserve">Intruder photographs require: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Unauthorized actors must not obtain the image contents.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Integrity:</w:t>
      </w:r>
      <w:r>
        <w:t xml:space="preserve"> </w:t>
      </w:r>
      <w:r>
        <w:t xml:space="preserve">Unauthorized modification or substitution must be prevented or detectable.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Access through the application must require appropriate authorization.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Metadata confidentiality:</w:t>
      </w:r>
      <w:r>
        <w:t xml:space="preserve"> </w:t>
      </w:r>
      <w:r>
        <w:t xml:space="preserve">Associated event information must remain protected.</w:t>
      </w:r>
    </w:p>
    <w:p>
      <w:pPr>
        <w:pStyle w:val="FirstParagraph"/>
      </w:pPr>
      <w:r>
        <w:rPr>
          <w:b/>
          <w:bCs/>
        </w:rPr>
        <w:t xml:space="preserve">Security Significance</w:t>
      </w:r>
    </w:p>
    <w:p>
      <w:pPr>
        <w:pStyle w:val="BodyText"/>
      </w:pPr>
      <w:r>
        <w:t xml:space="preserve">Compromise of intruder photographs may reveal identifiable individuals, authentication events, and information about activity around the protected device.</w:t>
      </w:r>
    </w:p>
    <w:p>
      <w:pPr>
        <w:pStyle w:val="BodyText"/>
      </w:pPr>
      <w:r>
        <w:t xml:space="preserve">Their security significance is therefore independent of the Vault.</w:t>
      </w:r>
    </w:p>
    <w:p>
      <w:pPr>
        <w:pStyle w:val="BodyText"/>
      </w:pPr>
      <w:r>
        <w:t xml:space="preserve">An attacker must not gain access to intruder photographs merely because the attacker can access application storage or manipulate application lifecycle state.</w:t>
      </w:r>
    </w:p>
    <w:p>
      <w:pPr>
        <w:pStyle w:val="BodyText"/>
      </w:pPr>
      <w:r>
        <w:rPr>
          <w:b/>
          <w:bCs/>
        </w:rPr>
        <w:t xml:space="preserve">2.7 Asset A-005 — Encrypted Application Database</w:t>
      </w:r>
    </w:p>
    <w:p>
      <w:pPr>
        <w:pStyle w:val="BodyText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The application database is a Room database protected by SQLCipher.</w:t>
      </w:r>
    </w:p>
    <w:p>
      <w:pPr>
        <w:pStyle w:val="BodyText"/>
      </w:pPr>
      <w:r>
        <w:t xml:space="preserve">The database contains security-sensitive application state including, at minimum:</w:t>
      </w:r>
    </w:p>
    <w:p>
      <w:pPr>
        <w:numPr>
          <w:ilvl w:val="0"/>
          <w:numId w:val="1010"/>
        </w:numPr>
      </w:pPr>
      <w:r>
        <w:t xml:space="preserve">Protected-application configuration.</w:t>
      </w:r>
    </w:p>
    <w:p>
      <w:pPr>
        <w:numPr>
          <w:ilvl w:val="0"/>
          <w:numId w:val="1010"/>
        </w:numPr>
      </w:pPr>
      <w:r>
        <w:t xml:space="preserve">Vault index information.</w:t>
      </w:r>
    </w:p>
    <w:p>
      <w:pPr>
        <w:numPr>
          <w:ilvl w:val="0"/>
          <w:numId w:val="1010"/>
        </w:numPr>
      </w:pPr>
      <w:r>
        <w:t xml:space="preserve">Security events.</w:t>
      </w:r>
    </w:p>
    <w:p>
      <w:pPr>
        <w:numPr>
          <w:ilvl w:val="0"/>
          <w:numId w:val="1010"/>
        </w:numPr>
      </w:pPr>
      <w:r>
        <w:t xml:space="preserve">Intruder events.</w:t>
      </w:r>
    </w:p>
    <w:p>
      <w:pPr>
        <w:numPr>
          <w:ilvl w:val="0"/>
          <w:numId w:val="1010"/>
        </w:numPr>
      </w:pPr>
      <w:r>
        <w:t xml:space="preserve">Vault metadata.</w:t>
      </w:r>
    </w:p>
    <w:p>
      <w:pPr>
        <w:numPr>
          <w:ilvl w:val="0"/>
          <w:numId w:val="1010"/>
        </w:numPr>
      </w:pPr>
      <w:r>
        <w:t xml:space="preserve">Timestamps and associated event information.</w:t>
      </w:r>
    </w:p>
    <w:p>
      <w:pPr>
        <w:pStyle w:val="FirstParagraph"/>
      </w:pPr>
      <w:r>
        <w:t xml:space="preserve">The database therefore contains both security-critical state and sensitive metadata.</w:t>
      </w:r>
    </w:p>
    <w:p>
      <w:pPr>
        <w:pStyle w:val="BodyText"/>
      </w:pPr>
      <w:r>
        <w:rPr>
          <w:b/>
          <w:bCs/>
        </w:rPr>
        <w:t xml:space="preserve">Security Requirements</w:t>
      </w:r>
    </w:p>
    <w:p>
      <w:pPr>
        <w:pStyle w:val="BodyText"/>
      </w:pPr>
      <w:r>
        <w:t xml:space="preserve">The database requires: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Unauthorized actors must not obtain readable database contents.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Integrity:</w:t>
      </w:r>
      <w:r>
        <w:t xml:space="preserve"> </w:t>
      </w:r>
      <w:r>
        <w:t xml:space="preserve">Unauthorized actors must not modify security-sensitive rows or security policy state.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Database corruption or key loss must not silently produce an insecure security state.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Metadata confidentiality:</w:t>
      </w:r>
      <w:r>
        <w:t xml:space="preserve"> </w:t>
      </w:r>
      <w:r>
        <w:t xml:space="preserve">Sensitive relationships and usage information contained within database rows must remain protected.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Migration integrity:</w:t>
      </w:r>
      <w:r>
        <w:t xml:space="preserve"> </w:t>
      </w:r>
      <w:r>
        <w:t xml:space="preserve">Database migration must preserve the security properties of the protected data and must not silently fall back to an insecure representation.</w:t>
      </w:r>
    </w:p>
    <w:p>
      <w:pPr>
        <w:pStyle w:val="FirstParagraph"/>
      </w:pPr>
      <w:r>
        <w:rPr>
          <w:b/>
          <w:bCs/>
        </w:rPr>
        <w:t xml:space="preserve">Security Significance</w:t>
      </w:r>
    </w:p>
    <w:p>
      <w:pPr>
        <w:pStyle w:val="BodyText"/>
      </w:pPr>
      <w:r>
        <w:t xml:space="preserve">The database is not merely an implementation repository.</w:t>
      </w:r>
    </w:p>
    <w:p>
      <w:pPr>
        <w:pStyle w:val="BodyText"/>
      </w:pPr>
      <w:r>
        <w:t xml:space="preserve">Even without obtaining a Vault payload, database disclosure may reveal:</w:t>
      </w:r>
    </w:p>
    <w:p>
      <w:pPr>
        <w:numPr>
          <w:ilvl w:val="0"/>
          <w:numId w:val="1012"/>
        </w:numPr>
      </w:pPr>
      <w:r>
        <w:t xml:space="preserve">Which applications the user protects.</w:t>
      </w:r>
    </w:p>
    <w:p>
      <w:pPr>
        <w:numPr>
          <w:ilvl w:val="0"/>
          <w:numId w:val="1012"/>
        </w:numPr>
      </w:pPr>
      <w:r>
        <w:t xml:space="preserve">Vault item identities.</w:t>
      </w:r>
    </w:p>
    <w:p>
      <w:pPr>
        <w:numPr>
          <w:ilvl w:val="0"/>
          <w:numId w:val="1012"/>
        </w:numPr>
      </w:pPr>
      <w:r>
        <w:t xml:space="preserve">File sizes.</w:t>
      </w:r>
    </w:p>
    <w:p>
      <w:pPr>
        <w:numPr>
          <w:ilvl w:val="0"/>
          <w:numId w:val="1012"/>
        </w:numPr>
      </w:pPr>
      <w:r>
        <w:t xml:space="preserve">MIME types.</w:t>
      </w:r>
    </w:p>
    <w:p>
      <w:pPr>
        <w:numPr>
          <w:ilvl w:val="0"/>
          <w:numId w:val="1012"/>
        </w:numPr>
      </w:pPr>
      <w:r>
        <w:t xml:space="preserve">Timestamps.</w:t>
      </w:r>
    </w:p>
    <w:p>
      <w:pPr>
        <w:numPr>
          <w:ilvl w:val="0"/>
          <w:numId w:val="1012"/>
        </w:numPr>
      </w:pPr>
      <w:r>
        <w:t xml:space="preserve">Security-event history.</w:t>
      </w:r>
    </w:p>
    <w:p>
      <w:pPr>
        <w:numPr>
          <w:ilvl w:val="0"/>
          <w:numId w:val="1012"/>
        </w:numPr>
      </w:pPr>
      <w:r>
        <w:t xml:space="preserve">Intruder-event information.</w:t>
      </w:r>
    </w:p>
    <w:p>
      <w:pPr>
        <w:numPr>
          <w:ilvl w:val="0"/>
          <w:numId w:val="1012"/>
        </w:numPr>
      </w:pPr>
      <w:r>
        <w:t xml:space="preserve">Other behavioral metadata represented by the stored records.</w:t>
      </w:r>
    </w:p>
    <w:p>
      <w:pPr>
        <w:pStyle w:val="FirstParagraph"/>
      </w:pPr>
      <w:r>
        <w:t xml:space="preserve">Consequently, confidentiality of the encrypted database itself is a security requirement.</w:t>
      </w:r>
    </w:p>
    <w:p>
      <w:pPr>
        <w:pStyle w:val="BodyText"/>
      </w:pPr>
      <w:r>
        <w:rPr>
          <w:b/>
          <w:bCs/>
        </w:rPr>
        <w:t xml:space="preserve">2.8 Asset A-006 — Security Enforcement Mechanism</w:t>
      </w:r>
    </w:p>
    <w:p>
      <w:pPr>
        <w:pStyle w:val="BodyText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The continuous operation of the App Lock enforcement mechanism is a security asset. The enforcement path includes the mechanisms responsible for:</w:t>
      </w:r>
    </w:p>
    <w:p>
      <w:pPr>
        <w:numPr>
          <w:ilvl w:val="0"/>
          <w:numId w:val="1013"/>
        </w:numPr>
      </w:pPr>
      <w:r>
        <w:t xml:space="preserve">detecting protected applications;</w:t>
      </w:r>
    </w:p>
    <w:p>
      <w:pPr>
        <w:numPr>
          <w:ilvl w:val="0"/>
          <w:numId w:val="1013"/>
        </w:numPr>
      </w:pPr>
      <w:r>
        <w:t xml:space="preserve">determining whether authentication is required;</w:t>
      </w:r>
    </w:p>
    <w:p>
      <w:pPr>
        <w:numPr>
          <w:ilvl w:val="0"/>
          <w:numId w:val="1013"/>
        </w:numPr>
      </w:pPr>
      <w:r>
        <w:t xml:space="preserve">presenting the authentication interface;</w:t>
      </w:r>
    </w:p>
    <w:p>
      <w:pPr>
        <w:numPr>
          <w:ilvl w:val="0"/>
          <w:numId w:val="1013"/>
        </w:numPr>
      </w:pPr>
      <w:r>
        <w:t xml:space="preserve">maintaining authorization state;</w:t>
      </w:r>
    </w:p>
    <w:p>
      <w:pPr>
        <w:numPr>
          <w:ilvl w:val="0"/>
          <w:numId w:val="1013"/>
        </w:numPr>
      </w:pPr>
      <w:r>
        <w:t xml:space="preserve">enforcing relock policy;</w:t>
      </w:r>
    </w:p>
    <w:p>
      <w:pPr>
        <w:numPr>
          <w:ilvl w:val="0"/>
          <w:numId w:val="1013"/>
        </w:numPr>
      </w:pPr>
      <w:r>
        <w:t xml:space="preserve">monitoring protection health;</w:t>
      </w:r>
    </w:p>
    <w:p>
      <w:pPr>
        <w:numPr>
          <w:ilvl w:val="0"/>
          <w:numId w:val="1013"/>
        </w:numPr>
      </w:pPr>
      <w:r>
        <w:t xml:space="preserve">restoring protection across supported lifecycle events.</w:t>
      </w:r>
    </w:p>
    <w:p>
      <w:pPr>
        <w:pStyle w:val="FirstParagraph"/>
      </w:pPr>
      <w:r>
        <w:t xml:space="preserve">The approved detection architecture contains two tiers: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Baseline tier:</w:t>
      </w:r>
      <w:r>
        <w:t xml:space="preserve"> </w:t>
      </w:r>
      <w:r>
        <w:t xml:space="preserve">UsageStatsManager with Usage Access, providing the required detection path without Accessibility.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Enhancement tier:</w:t>
      </w:r>
      <w:r>
        <w:t xml:space="preserve"> </w:t>
      </w:r>
      <w:r>
        <w:t xml:space="preserve">Accessibility-based event detection, enabled voluntarily by the user for faster detection.</w:t>
      </w:r>
    </w:p>
    <w:p>
      <w:pPr>
        <w:pStyle w:val="FirstParagraph"/>
      </w:pPr>
      <w:r>
        <w:t xml:space="preserve">Both tiers converge on the same Trigger Processor and lock-enforcement path.</w:t>
      </w:r>
    </w:p>
    <w:p>
      <w:pPr>
        <w:pStyle w:val="BodyText"/>
      </w:pPr>
      <w:r>
        <w:t xml:space="preserve">Security-relevant components include:</w:t>
      </w:r>
    </w:p>
    <w:p>
      <w:pPr>
        <w:numPr>
          <w:ilvl w:val="0"/>
          <w:numId w:val="1015"/>
        </w:numPr>
      </w:pPr>
      <w:r>
        <w:t xml:space="preserve">AppDetectionService (the current Accessibility implementation and approved optional enhancement);</w:t>
      </w:r>
    </w:p>
    <w:p>
      <w:pPr>
        <w:numPr>
          <w:ilvl w:val="0"/>
          <w:numId w:val="1015"/>
        </w:numPr>
      </w:pPr>
      <w:r>
        <w:t xml:space="preserve">the baseline UsageStats-based detection implementation when introduced;</w:t>
      </w:r>
    </w:p>
    <w:p>
      <w:pPr>
        <w:numPr>
          <w:ilvl w:val="0"/>
          <w:numId w:val="1015"/>
        </w:numPr>
      </w:pPr>
      <w:r>
        <w:t xml:space="preserve">the detection-source selection layer;</w:t>
      </w:r>
    </w:p>
    <w:p>
      <w:pPr>
        <w:numPr>
          <w:ilvl w:val="0"/>
          <w:numId w:val="1015"/>
        </w:numPr>
      </w:pPr>
      <w:r>
        <w:t xml:space="preserve">ApplicationLockEngine;</w:t>
      </w:r>
    </w:p>
    <w:p>
      <w:pPr>
        <w:numPr>
          <w:ilvl w:val="0"/>
          <w:numId w:val="1015"/>
        </w:numPr>
      </w:pPr>
      <w:r>
        <w:t xml:space="preserve">LockPolicyManager;</w:t>
      </w:r>
    </w:p>
    <w:p>
      <w:pPr>
        <w:numPr>
          <w:ilvl w:val="0"/>
          <w:numId w:val="1015"/>
        </w:numPr>
      </w:pPr>
      <w:r>
        <w:t xml:space="preserve">LockSessionManager;</w:t>
      </w:r>
    </w:p>
    <w:p>
      <w:pPr>
        <w:numPr>
          <w:ilvl w:val="0"/>
          <w:numId w:val="1015"/>
        </w:numPr>
      </w:pPr>
      <w:r>
        <w:t xml:space="preserve">LockScreenActivity;</w:t>
      </w:r>
    </w:p>
    <w:p>
      <w:pPr>
        <w:numPr>
          <w:ilvl w:val="0"/>
          <w:numId w:val="1015"/>
        </w:numPr>
      </w:pPr>
      <w:r>
        <w:t xml:space="preserve">ProtectionWatchdogService;</w:t>
      </w:r>
    </w:p>
    <w:p>
      <w:pPr>
        <w:numPr>
          <w:ilvl w:val="0"/>
          <w:numId w:val="1015"/>
        </w:numPr>
      </w:pPr>
      <w:r>
        <w:t xml:space="preserve">BootReceiver;</w:t>
      </w:r>
    </w:p>
    <w:p>
      <w:pPr>
        <w:numPr>
          <w:ilvl w:val="0"/>
          <w:numId w:val="1015"/>
        </w:numPr>
      </w:pPr>
      <w:r>
        <w:t xml:space="preserve">device-admin uninstall protection where enabled;</w:t>
      </w:r>
    </w:p>
    <w:p>
      <w:pPr>
        <w:numPr>
          <w:ilvl w:val="0"/>
          <w:numId w:val="1015"/>
        </w:numPr>
      </w:pPr>
      <w:r>
        <w:t xml:space="preserve">the lock-interface presentation mechanism required by the baseline detector.</w:t>
      </w:r>
    </w:p>
    <w:p>
      <w:pPr>
        <w:pStyle w:val="FirstParagraph"/>
      </w:pPr>
      <w:r>
        <w:rPr>
          <w:b/>
          <w:bCs/>
        </w:rPr>
        <w:t xml:space="preserve">Security Requirements</w:t>
      </w:r>
    </w:p>
    <w:p>
      <w:pPr>
        <w:pStyle w:val="BodyText"/>
      </w:pPr>
      <w:r>
        <w:t xml:space="preserve">The enforcement mechanism requires: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the required baseline protection path must remain operational under supported conditions.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Integrity:</w:t>
      </w:r>
      <w:r>
        <w:t xml:space="preserve"> </w:t>
      </w:r>
      <w:r>
        <w:t xml:space="preserve">an attacker must not weaken or disable security enforcement without authorization.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Authorization integrity:</w:t>
      </w:r>
      <w:r>
        <w:t xml:space="preserve"> </w:t>
      </w:r>
      <w:r>
        <w:t xml:space="preserve">security policy must not be modified to remove protection without authorization.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security-critical protection state must not be bypassable through application restart or device reboot where persistence is required.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Fail-safe health reporting:</w:t>
      </w:r>
      <w:r>
        <w:t xml:space="preserve"> </w:t>
      </w:r>
      <w:r>
        <w:t xml:space="preserve">loss or failure of a required detection mechanism must not silently be represented as healthy protection.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Tier independence:</w:t>
      </w:r>
      <w:r>
        <w:t xml:space="preserve"> </w:t>
      </w:r>
      <w:r>
        <w:t xml:space="preserve">loss of the optional Accessibility enhancement must not, by itself, disable core protected-application enforcement.</w:t>
      </w:r>
    </w:p>
    <w:p>
      <w:pPr>
        <w:pStyle w:val="FirstParagraph"/>
      </w:pPr>
      <w:r>
        <w:rPr>
          <w:b/>
          <w:bCs/>
        </w:rPr>
        <w:t xml:space="preserve">Security Significance</w:t>
      </w:r>
    </w:p>
    <w:p>
      <w:pPr>
        <w:pStyle w:val="BodyText"/>
      </w:pPr>
      <w:r>
        <w:t xml:space="preserve">The enforcement mechanism is a security asset because protected applications are only protected while App Lock can detect relevant foreground transitions and enforce its authorization boundary.</w:t>
      </w:r>
    </w:p>
    <w:p>
      <w:pPr>
        <w:pStyle w:val="BodyText"/>
      </w:pPr>
      <w:r>
        <w:t xml:space="preserve">The approved architecture deliberately separates the enforcement boundary from the Accessibility framework. Under the target architecture, Accessibility is an optional detection enhancement; the mandatory enforcement dependency is the baseline detection path and its associated permission and lock-interface presentation mechanisms.</w:t>
      </w:r>
    </w:p>
    <w:p>
      <w:pPr>
        <w:pStyle w:val="BodyText"/>
      </w:pPr>
      <w:r>
        <w:t xml:space="preserve">The current delivered implementation remains Accessibility-dependent until the approved two-tier architecture is implemented and verified. The distinction between current and target architecture is security-critical and SHALL be preserved throughout the Threat Model.</w:t>
      </w:r>
    </w:p>
    <w:p>
      <w:pPr>
        <w:pStyle w:val="BodyText"/>
      </w:pPr>
      <w:r>
        <w:t xml:space="preserve">The detailed analysis of this failure mode belongs in the threat, risk, and control sections.</w:t>
      </w:r>
    </w:p>
    <w:p>
      <w:pPr>
        <w:pStyle w:val="BodyText"/>
      </w:pPr>
      <w:r>
        <w:rPr>
          <w:b/>
          <w:bCs/>
        </w:rPr>
        <w:t xml:space="preserve">2.9 Asset Relationships</w:t>
      </w:r>
    </w:p>
    <w:p>
      <w:pPr>
        <w:pStyle w:val="BodyText"/>
      </w:pPr>
      <w:r>
        <w:t xml:space="preserve">The primary assets are interdependent.</w:t>
      </w:r>
    </w:p>
    <w:p>
      <w:pPr>
        <w:pStyle w:val="BodyText"/>
      </w:pPr>
      <w:r>
        <w:t xml:space="preserve">The security model can be represented as:</w:t>
      </w:r>
    </w:p>
    <w:p>
      <w:pPr>
        <w:pStyle w:val="BodyText"/>
      </w:pPr>
      <w:r>
        <w:t xml:space="preserve">Android Keystore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Cryptographic Root of Trust</w:t>
      </w:r>
    </w:p>
    <w:p>
      <w:pPr>
        <w:pStyle w:val="BodyText"/>
      </w:pPr>
      <w:r>
        <w:t xml:space="preserve">│ │</w:t>
      </w:r>
    </w:p>
    <w:p>
      <w:pPr>
        <w:pStyle w:val="BodyText"/>
      </w:pPr>
      <w:r>
        <w:t xml:space="preserve">┌───────────┘ └─────────────┐</w:t>
      </w:r>
    </w:p>
    <w:p>
      <w:pPr>
        <w:pStyle w:val="BodyText"/>
      </w:pPr>
      <w:r>
        <w:t xml:space="preserve">▼ ▼</w:t>
      </w:r>
    </w:p>
    <w:p>
      <w:pPr>
        <w:pStyle w:val="BodyText"/>
      </w:pPr>
      <w:r>
        <w:t xml:space="preserve">Credential Storage Application Data</w:t>
      </w:r>
    </w:p>
    <w:p>
      <w:pPr>
        <w:pStyle w:val="BodyText"/>
      </w:pPr>
      <w:r>
        <w:t xml:space="preserve">│ │ │</w:t>
      </w:r>
    </w:p>
    <w:p>
      <w:pPr>
        <w:pStyle w:val="BodyText"/>
      </w:pPr>
      <w:r>
        <w:t xml:space="preserve">▼ ▼ ▼</w:t>
      </w:r>
    </w:p>
    <w:p>
      <w:pPr>
        <w:pStyle w:val="BodyText"/>
      </w:pPr>
      <w:r>
        <w:t xml:space="preserve">PIN Verification SQLCipher Encrypted Files</w:t>
      </w:r>
    </w:p>
    <w:p>
      <w:pPr>
        <w:pStyle w:val="BodyText"/>
      </w:pPr>
      <w:r>
        <w:t xml:space="preserve">│ │</w:t>
      </w:r>
    </w:p>
    <w:p>
      <w:pPr>
        <w:pStyle w:val="BodyText"/>
      </w:pPr>
      <w:r>
        <w:t xml:space="preserve">▼ ▼</w:t>
      </w:r>
    </w:p>
    <w:p>
      <w:pPr>
        <w:pStyle w:val="BodyText"/>
      </w:pPr>
      <w:r>
        <w:t xml:space="preserve">Vault Metadata Vault Payloads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Intruder Events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Security Events</w:t>
      </w:r>
    </w:p>
    <w:p>
      <w:pPr>
        <w:pStyle w:val="BodyText"/>
      </w:pPr>
      <w:r>
        <w:t xml:space="preserve">The enforcement mechanism operates alongside this storage hierarchy:</w:t>
      </w:r>
    </w:p>
    <w:p>
      <w:pPr>
        <w:pStyle w:val="BodyText"/>
      </w:pPr>
      <w:r>
        <w:t xml:space="preserve">Device Unlock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App Lock Authorization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├──────────────► Protected Application Access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└──────────────► Vault / Security Data Access</w:t>
      </w:r>
    </w:p>
    <w:p>
      <w:pPr>
        <w:pStyle w:val="BodyText"/>
      </w:pPr>
      <w:r>
        <w:t xml:space="preserve">The Android device-unlock state does not substitute for the App Lock authorization state.</w:t>
      </w:r>
    </w:p>
    <w:p>
      <w:pPr>
        <w:pStyle w:val="BodyText"/>
      </w:pPr>
      <w:r>
        <w:rPr>
          <w:b/>
          <w:bCs/>
        </w:rPr>
        <w:t xml:space="preserve">2.10 Security Property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A-001 User PIN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A-002 Cryptographic Key Material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A-003 Vault Payloads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A-004 Intruder Photographs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A-005 Encrypted Database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A-006 Enforcement Mechanism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pPr>
        <w:pStyle w:val="BodyText"/>
      </w:pPr>
      <w:r>
        <w:t xml:space="preserve">The ratings in this matrix describe security significance, not the project's formal threat risk rating. Formal likelihood, impact, and risk classification are established in Section 11.</w:t>
      </w:r>
    </w:p>
    <w:p>
      <w:pPr>
        <w:pStyle w:val="BodyText"/>
      </w:pPr>
      <w:r>
        <w:rPr>
          <w:b/>
          <w:bCs/>
        </w:rPr>
        <w:t xml:space="preserve">2.11 Security-Critical State</w:t>
      </w:r>
    </w:p>
    <w:p>
      <w:pPr>
        <w:pStyle w:val="BodyText"/>
      </w:pPr>
      <w:r>
        <w:t xml:space="preserve">In addition to confidential data, App Lock contains state whose unauthorized modification could directly weaken security.</w:t>
      </w:r>
    </w:p>
    <w:p>
      <w:pPr>
        <w:pStyle w:val="BodyText"/>
      </w:pPr>
      <w:r>
        <w:t xml:space="preserve">Security-critical state includes:</w:t>
      </w:r>
    </w:p>
    <w:p>
      <w:pPr>
        <w:numPr>
          <w:ilvl w:val="0"/>
          <w:numId w:val="1017"/>
        </w:numPr>
      </w:pPr>
      <w:r>
        <w:t xml:space="preserve">Current authentication credential configuration.</w:t>
      </w:r>
    </w:p>
    <w:p>
      <w:pPr>
        <w:numPr>
          <w:ilvl w:val="0"/>
          <w:numId w:val="1017"/>
        </w:numPr>
      </w:pPr>
      <w:r>
        <w:t xml:space="preserve">Failed-authentication counter.</w:t>
      </w:r>
    </w:p>
    <w:p>
      <w:pPr>
        <w:numPr>
          <w:ilvl w:val="0"/>
          <w:numId w:val="1017"/>
        </w:numPr>
      </w:pPr>
      <w:r>
        <w:t xml:space="preserve">Lockout-until state.</w:t>
      </w:r>
    </w:p>
    <w:p>
      <w:pPr>
        <w:numPr>
          <w:ilvl w:val="0"/>
          <w:numId w:val="1017"/>
        </w:numPr>
      </w:pPr>
      <w:r>
        <w:t xml:space="preserve">Protected-application list.</w:t>
      </w:r>
    </w:p>
    <w:p>
      <w:pPr>
        <w:numPr>
          <w:ilvl w:val="0"/>
          <w:numId w:val="1017"/>
        </w:numPr>
      </w:pPr>
      <w:r>
        <w:t xml:space="preserve">Protection policies.</w:t>
      </w:r>
    </w:p>
    <w:p>
      <w:pPr>
        <w:numPr>
          <w:ilvl w:val="0"/>
          <w:numId w:val="1017"/>
        </w:numPr>
      </w:pPr>
      <w:r>
        <w:t xml:space="preserve">Relock configuration.</w:t>
      </w:r>
    </w:p>
    <w:p>
      <w:pPr>
        <w:numPr>
          <w:ilvl w:val="0"/>
          <w:numId w:val="1017"/>
        </w:numPr>
      </w:pPr>
      <w:r>
        <w:t xml:space="preserve">Enforcement enablement state.</w:t>
      </w:r>
    </w:p>
    <w:p>
      <w:pPr>
        <w:numPr>
          <w:ilvl w:val="0"/>
          <w:numId w:val="1017"/>
        </w:numPr>
      </w:pPr>
      <w:r>
        <w:t xml:space="preserve">Device-admin protection state where enabled.</w:t>
      </w:r>
    </w:p>
    <w:p>
      <w:pPr>
        <w:numPr>
          <w:ilvl w:val="0"/>
          <w:numId w:val="1017"/>
        </w:numPr>
      </w:pPr>
      <w:r>
        <w:t xml:space="preserve">Security and intruder-event records.</w:t>
      </w:r>
    </w:p>
    <w:p>
      <w:pPr>
        <w:numPr>
          <w:ilvl w:val="0"/>
          <w:numId w:val="1017"/>
        </w:numPr>
      </w:pPr>
      <w:r>
        <w:t xml:space="preserve">Vault index state.</w:t>
      </w:r>
    </w:p>
    <w:p>
      <w:pPr>
        <w:numPr>
          <w:ilvl w:val="0"/>
          <w:numId w:val="1017"/>
        </w:numPr>
      </w:pPr>
      <w:r>
        <w:t xml:space="preserve">Authorization-session state while active.</w:t>
      </w:r>
    </w:p>
    <w:p>
      <w:pPr>
        <w:pStyle w:val="FirstParagraph"/>
      </w:pPr>
      <w:r>
        <w:t xml:space="preserve">The distinction between</w:t>
      </w:r>
      <w:r>
        <w:t xml:space="preserve"> </w:t>
      </w:r>
      <w:r>
        <w:rPr>
          <w:b/>
          <w:bCs/>
        </w:rPr>
        <w:t xml:space="preserve">confidential assets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security-critical state</w:t>
      </w:r>
      <w:r>
        <w:t xml:space="preserve"> </w:t>
      </w:r>
      <w:r>
        <w:t xml:space="preserve">is intentional.</w:t>
      </w:r>
    </w:p>
    <w:p>
      <w:pPr>
        <w:pStyle w:val="BodyText"/>
      </w:pPr>
      <w:r>
        <w:t xml:space="preserve">An asset does not need to contain a secret to require strong integrity protection. A protected-app policy, for example, may be non-secret in some contexts while still being security-critical because unauthorized modification can remove the protection boundary.</w:t>
      </w:r>
    </w:p>
    <w:p>
      <w:pPr>
        <w:pStyle w:val="BodyText"/>
      </w:pPr>
      <w:r>
        <w:rPr>
          <w:b/>
          <w:bCs/>
        </w:rPr>
        <w:t xml:space="preserve">2.12 Asset Protection Principles</w:t>
      </w:r>
    </w:p>
    <w:p>
      <w:pPr>
        <w:pStyle w:val="BodyText"/>
      </w:pPr>
      <w:r>
        <w:t xml:space="preserve">The following principles apply throughout the Threat Model:</w:t>
      </w:r>
    </w:p>
    <w:p>
      <w:pPr>
        <w:numPr>
          <w:ilvl w:val="0"/>
          <w:numId w:val="1018"/>
        </w:numPr>
      </w:pPr>
      <w:r>
        <w:t xml:space="preserve">Sensitive data must not be treated as protected solely because it resides inside the application sandbox.</w:t>
      </w:r>
    </w:p>
    <w:p>
      <w:pPr>
        <w:numPr>
          <w:ilvl w:val="0"/>
          <w:numId w:val="1018"/>
        </w:numPr>
      </w:pPr>
      <w:r>
        <w:t xml:space="preserve">Encryption at rest does not replace runtime authorization.</w:t>
      </w:r>
    </w:p>
    <w:p>
      <w:pPr>
        <w:numPr>
          <w:ilvl w:val="0"/>
          <w:numId w:val="1018"/>
        </w:numPr>
      </w:pPr>
      <w:r>
        <w:t xml:space="preserve">Runtime authorization does not replace encryption at rest.</w:t>
      </w:r>
    </w:p>
    <w:p>
      <w:pPr>
        <w:numPr>
          <w:ilvl w:val="0"/>
          <w:numId w:val="1018"/>
        </w:numPr>
      </w:pPr>
      <w:r>
        <w:t xml:space="preserve">Cryptographic key material must be evaluated independently from the data it protects.</w:t>
      </w:r>
    </w:p>
    <w:p>
      <w:pPr>
        <w:numPr>
          <w:ilvl w:val="0"/>
          <w:numId w:val="1018"/>
        </w:numPr>
      </w:pPr>
      <w:r>
        <w:t xml:space="preserve">Security-critical state requires integrity protection even when confidentiality is not its primary property.</w:t>
      </w:r>
    </w:p>
    <w:p>
      <w:pPr>
        <w:numPr>
          <w:ilvl w:val="0"/>
          <w:numId w:val="1018"/>
        </w:numPr>
      </w:pPr>
      <w:r>
        <w:t xml:space="preserve">Availability failures that remove a security boundary are security-relevant failures.</w:t>
      </w:r>
    </w:p>
    <w:p>
      <w:pPr>
        <w:numPr>
          <w:ilvl w:val="0"/>
          <w:numId w:val="1018"/>
        </w:numPr>
      </w:pPr>
      <w:r>
        <w:t xml:space="preserve">Metadata is treated as sensitive where it can reveal protected applications, user activity, vault contents, or security events.</w:t>
      </w:r>
    </w:p>
    <w:p>
      <w:pPr>
        <w:numPr>
          <w:ilvl w:val="0"/>
          <w:numId w:val="1018"/>
        </w:numPr>
      </w:pPr>
      <w:r>
        <w:t xml:space="preserve">A planned protection is not an effective protection until implemented.</w:t>
      </w:r>
    </w:p>
    <w:p>
      <w:pPr>
        <w:numPr>
          <w:ilvl w:val="0"/>
          <w:numId w:val="1018"/>
        </w:numPr>
      </w:pPr>
      <w:r>
        <w:t xml:space="preserve">An implemented protection is not security-verified until appropriate security evidence exists.</w:t>
      </w:r>
    </w:p>
    <w:p>
      <w:pPr>
        <w:numPr>
          <w:ilvl w:val="0"/>
          <w:numId w:val="1018"/>
        </w:numPr>
      </w:pPr>
      <w:r>
        <w:t xml:space="preserve">The security properties defined here apply to the current system and must be reassessed when the underlying architecture or implementation changes.</w:t>
      </w:r>
    </w:p>
    <w:p>
      <w:pPr>
        <w:pStyle w:val="FirstParagraph"/>
      </w:pPr>
      <w:r>
        <w:rPr>
          <w:b/>
          <w:bCs/>
        </w:rPr>
        <w:t xml:space="preserve">2.13 Section 2 Completion Criteria</w:t>
      </w:r>
    </w:p>
    <w:p>
      <w:pPr>
        <w:pStyle w:val="BodyText"/>
      </w:pPr>
      <w:r>
        <w:t xml:space="preserve">Section 2 is complete when:</w:t>
      </w:r>
    </w:p>
    <w:p>
      <w:pPr>
        <w:numPr>
          <w:ilvl w:val="0"/>
          <w:numId w:val="1019"/>
        </w:numPr>
      </w:pPr>
      <w:r>
        <w:t xml:space="preserve">All primary security-sensitive assets have been identified.</w:t>
      </w:r>
    </w:p>
    <w:p>
      <w:pPr>
        <w:numPr>
          <w:ilvl w:val="0"/>
          <w:numId w:val="1019"/>
        </w:numPr>
      </w:pPr>
      <w:r>
        <w:t xml:space="preserve">The user credential is explicitly represented as an asset.</w:t>
      </w:r>
    </w:p>
    <w:p>
      <w:pPr>
        <w:numPr>
          <w:ilvl w:val="0"/>
          <w:numId w:val="1019"/>
        </w:numPr>
      </w:pPr>
      <w:r>
        <w:t xml:space="preserve">Cryptographic key material and the Keystore root of trust are explicitly represented.</w:t>
      </w:r>
    </w:p>
    <w:p>
      <w:pPr>
        <w:numPr>
          <w:ilvl w:val="0"/>
          <w:numId w:val="1019"/>
        </w:numPr>
      </w:pPr>
      <w:r>
        <w:t xml:space="preserve">Vault payloads are separately represented from their database metadata.</w:t>
      </w:r>
    </w:p>
    <w:p>
      <w:pPr>
        <w:numPr>
          <w:ilvl w:val="0"/>
          <w:numId w:val="1019"/>
        </w:numPr>
      </w:pPr>
      <w:r>
        <w:t xml:space="preserve">Intruder photographs are separately represented.</w:t>
      </w:r>
    </w:p>
    <w:p>
      <w:pPr>
        <w:numPr>
          <w:ilvl w:val="0"/>
          <w:numId w:val="1019"/>
        </w:numPr>
      </w:pPr>
      <w:r>
        <w:t xml:space="preserve">The encrypted database and its metadata are explicitly protected.</w:t>
      </w:r>
    </w:p>
    <w:p>
      <w:pPr>
        <w:numPr>
          <w:ilvl w:val="0"/>
          <w:numId w:val="1019"/>
        </w:numPr>
      </w:pPr>
      <w:r>
        <w:t xml:space="preserve">The enforcement mechanism is recognized as a security asset.</w:t>
      </w:r>
    </w:p>
    <w:p>
      <w:pPr>
        <w:numPr>
          <w:ilvl w:val="0"/>
          <w:numId w:val="1019"/>
        </w:numPr>
      </w:pPr>
      <w:r>
        <w:t xml:space="preserve">Applicable security properties are defined for each asset.</w:t>
      </w:r>
    </w:p>
    <w:p>
      <w:pPr>
        <w:numPr>
          <w:ilvl w:val="0"/>
          <w:numId w:val="1019"/>
        </w:numPr>
      </w:pPr>
      <w:r>
        <w:t xml:space="preserve">Security-critical state is distinguished from confidential data.</w:t>
      </w:r>
    </w:p>
    <w:p>
      <w:pPr>
        <w:numPr>
          <w:ilvl w:val="0"/>
          <w:numId w:val="1019"/>
        </w:numPr>
      </w:pPr>
      <w:r>
        <w:t xml:space="preserve">The relationship between the Android device-unlock boundary and App Lock authorization is established.</w:t>
      </w:r>
    </w:p>
    <w:p>
      <w:pPr>
        <w:numPr>
          <w:ilvl w:val="0"/>
          <w:numId w:val="1019"/>
        </w:numPr>
      </w:pPr>
      <w:r>
        <w:t xml:space="preserve">Detailed threats, controls, risk ratings, and verification evidence remain reserved for their respective sections.</w:t>
      </w:r>
    </w:p>
    <w:p>
      <w:pPr>
        <w:pStyle w:val="FirstParagraph"/>
      </w:pPr>
      <w:r>
        <w:t xml:space="preserve">The asset model established here is the authoritative basis for the threat analysis in Section 8 and the control and risk analysis that follows.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2026-08-06T06:07:36Z</dcterms:created>
  <dcterms:modified xsi:type="dcterms:W3CDTF">2026-08-06T06:07:36Z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