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Database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12. Index Strategy</w:t>
      </w:r>
    </w:p>
    <w:p>
      <w:pPr>
        <w:pStyle w:val="Heading2"/>
        <w:jc w:val="left"/>
      </w:pPr>
      <w:r>
        <w:t>12.1 Required indexes</w:t>
      </w:r>
    </w:p>
    <w:p>
      <w:pPr>
        <w:jc w:val="left"/>
      </w:pPr>
      <w:r>
        <w:t>The protected package collection requires:</w:t>
      </w:r>
    </w:p>
    <w:p>
      <w:pPr>
        <w:pStyle w:val="ListBullet"/>
        <w:jc w:val="left"/>
      </w:pPr>
      <w:r>
        <w:t>the primary access structure supplied by the database framework; and</w:t>
      </w:r>
    </w:p>
    <w:p>
      <w:pPr>
        <w:pStyle w:val="ListBullet"/>
        <w:jc w:val="left"/>
      </w:pPr>
      <w:r>
        <w:t>uniqueness and efficient equality lookup for package identifier.</w:t>
      </w:r>
    </w:p>
    <w:p>
      <w:pPr>
        <w:jc w:val="left"/>
      </w:pPr>
      <w:r>
        <w:t>These may be satisfied by one physical index when the package identifier is the primary key.</w:t>
      </w:r>
    </w:p>
    <w:p>
      <w:pPr>
        <w:pStyle w:val="Heading2"/>
        <w:jc w:val="left"/>
      </w:pPr>
      <w:r>
        <w:t>12.2 Excluded indexes</w:t>
      </w:r>
    </w:p>
    <w:p>
      <w:pPr>
        <w:jc w:val="left"/>
      </w:pPr>
      <w:r>
        <w:t>Version 1.0.0 does not require indexes for:</w:t>
      </w:r>
    </w:p>
    <w:p>
      <w:pPr>
        <w:pStyle w:val="ListBullet"/>
        <w:jc w:val="left"/>
      </w:pPr>
      <w:r>
        <w:t>application label, icon, category, or version;</w:t>
      </w:r>
    </w:p>
    <w:p>
      <w:pPr>
        <w:pStyle w:val="ListBullet"/>
        <w:jc w:val="left"/>
      </w:pPr>
      <w:r>
        <w:t>group, profile, schedule, rule, priority, or time range;</w:t>
      </w:r>
    </w:p>
    <w:p>
      <w:pPr>
        <w:pStyle w:val="ListBullet"/>
        <w:jc w:val="left"/>
      </w:pPr>
      <w:r>
        <w:t>vault item, tag, category, attachment, or search content;</w:t>
      </w:r>
    </w:p>
    <w:p>
      <w:pPr>
        <w:pStyle w:val="ListBullet"/>
        <w:jc w:val="left"/>
      </w:pPr>
      <w:r>
        <w:t>security event or notification time;</w:t>
      </w:r>
    </w:p>
    <w:p>
      <w:pPr>
        <w:pStyle w:val="ListBullet"/>
        <w:jc w:val="left"/>
      </w:pPr>
      <w:r>
        <w:t>diagnostic severity or component;</w:t>
      </w:r>
    </w:p>
    <w:p>
      <w:pPr>
        <w:pStyle w:val="ListBullet"/>
        <w:jc w:val="left"/>
      </w:pPr>
      <w:r>
        <w:t>metric name or measurement time; or</w:t>
      </w:r>
    </w:p>
    <w:p>
      <w:pPr>
        <w:pStyle w:val="ListBullet"/>
        <w:jc w:val="left"/>
      </w:pPr>
      <w:r>
        <w:t>soft-deletion and archive state.</w:t>
      </w:r>
    </w:p>
    <w:p>
      <w:pPr>
        <w:pStyle w:val="Heading2"/>
        <w:jc w:val="left"/>
      </w:pPr>
      <w:r>
        <w:t>12.3 Index maintenance</w:t>
      </w:r>
    </w:p>
    <w:p>
      <w:pPr>
        <w:jc w:val="left"/>
      </w:pPr>
      <w:r>
        <w:t>The database framework maintains the retained index during ordinary transactions and migration. There is no periodic index-analysis service, index-usage history, or scheduled reindex operation.</w:t>
      </w:r>
    </w:p>
    <w:p>
      <w:pPr>
        <w:jc w:val="left"/>
      </w:pPr>
      <w:r>
        <w:t>An integrity failure affecting the unique package lookup makes the database unavailable until a supported recovery or destructive reset occurs.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