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13. Query and Transaction Design</w:t>
      </w:r>
    </w:p>
    <w:p>
      <w:pPr>
        <w:pStyle w:val="Heading2"/>
        <w:jc w:val="left"/>
      </w:pPr>
      <w:r>
        <w:t>13.1 Supported relational operations</w:t>
      </w:r>
    </w:p>
    <w:p>
      <w:pPr>
        <w:jc w:val="left"/>
      </w:pPr>
      <w:r>
        <w:t>The relational persistence boundary supports:</w:t>
      </w:r>
    </w:p>
    <w:p>
      <w:pPr>
        <w:pStyle w:val="ListNumber"/>
        <w:jc w:val="left"/>
      </w:pPr>
      <w:r>
        <w:t>list all protected package identifiers;</w:t>
      </w:r>
    </w:p>
    <w:p>
      <w:pPr>
        <w:pStyle w:val="ListNumber"/>
        <w:jc w:val="left"/>
      </w:pPr>
      <w:r>
        <w:t>determine whether one package identifier is present;</w:t>
      </w:r>
    </w:p>
    <w:p>
      <w:pPr>
        <w:pStyle w:val="ListNumber"/>
        <w:jc w:val="left"/>
      </w:pPr>
      <w:r>
        <w:t>add one package identifier;</w:t>
      </w:r>
    </w:p>
    <w:p>
      <w:pPr>
        <w:pStyle w:val="ListNumber"/>
        <w:jc w:val="left"/>
      </w:pPr>
      <w:r>
        <w:t>remove one package identifier; and</w:t>
      </w:r>
    </w:p>
    <w:p>
      <w:pPr>
        <w:pStyle w:val="ListNumber"/>
        <w:jc w:val="left"/>
      </w:pPr>
      <w:r>
        <w:t>run the explicitly supported schema migration and verification.</w:t>
      </w:r>
    </w:p>
    <w:p>
      <w:pPr>
        <w:jc w:val="left"/>
      </w:pPr>
      <w:r>
        <w:t>No general query builder, full-text search, aggregation, pagination, join graph, or reporting query is required.</w:t>
      </w:r>
    </w:p>
    <w:p>
      <w:pPr>
        <w:pStyle w:val="Heading2"/>
        <w:jc w:val="left"/>
      </w:pPr>
      <w:r>
        <w:t>13.2 Read behavior</w:t>
      </w:r>
    </w:p>
    <w:p>
      <w:pPr>
        <w:jc w:val="left"/>
      </w:pPr>
      <w:r>
        <w:t>At verified startup, the complete protected set is read into memory. Equality checks during foreground detection use that in-memory set and do not query the database on every detector cycle.</w:t>
      </w:r>
    </w:p>
    <w:p>
      <w:pPr>
        <w:jc w:val="left"/>
      </w:pPr>
      <w:r>
        <w:t>The protected-app management screen combines the stored set with current Android package information in memory.</w:t>
      </w:r>
    </w:p>
    <w:p>
      <w:pPr>
        <w:pStyle w:val="Heading2"/>
        <w:jc w:val="left"/>
      </w:pPr>
      <w:r>
        <w:t>13.3 Write behavior</w:t>
      </w:r>
    </w:p>
    <w:p>
      <w:pPr>
        <w:jc w:val="left"/>
      </w:pPr>
      <w:r>
        <w:t>Each user selection change produces at most one add or remove transaction. Repeated taps are disabled or coalesced while the current write is unresolved. A user-visible success state is shown only after commit.</w:t>
      </w:r>
    </w:p>
    <w:p>
      <w:pPr>
        <w:jc w:val="left"/>
      </w:pPr>
      <w:r>
        <w:t>Adding an existing package and removing an absent package are idempotent final states. They do not generate error history or duplicate records.</w:t>
      </w:r>
    </w:p>
    <w:p>
      <w:pPr>
        <w:pStyle w:val="Heading2"/>
        <w:jc w:val="left"/>
      </w:pPr>
      <w:r>
        <w:t>13.4 Main-thread restriction</w:t>
      </w:r>
    </w:p>
    <w:p>
      <w:pPr>
        <w:jc w:val="left"/>
      </w:pPr>
      <w:r>
        <w:t>Database opening, migration, full-set reading, and writes execute away from the user-interface thread. Completion is delivered to the owner as a success or defined failure category.</w:t>
      </w:r>
    </w:p>
    <w:p>
      <w:pPr>
        <w:pStyle w:val="Heading2"/>
        <w:jc w:val="left"/>
      </w:pPr>
      <w:r>
        <w:t>13.5 Parameterization and input validation</w:t>
      </w:r>
    </w:p>
    <w:p>
      <w:pPr>
        <w:jc w:val="left"/>
      </w:pPr>
      <w:r>
        <w:t>Every package identifier used in a database operation is supplied as a bound value through the selected persistence framework. Text concatenation is not used to construct executable database statements.</w:t>
      </w:r>
    </w:p>
    <w:p>
      <w:pPr>
        <w:jc w:val="left"/>
      </w:pPr>
      <w:r>
        <w:t>Input validation confirms required form and supported length. Selection additionally confirms that Android currently reports an eligible launchable application.</w:t>
      </w:r>
    </w:p>
    <w:p>
      <w:pPr>
        <w:pStyle w:val="Heading2"/>
        <w:jc w:val="left"/>
      </w:pPr>
      <w:r>
        <w:t>13.6 Transaction isolation</w:t>
      </w:r>
    </w:p>
    <w:p>
      <w:pPr>
        <w:jc w:val="left"/>
      </w:pPr>
      <w:r>
        <w:t>Initialization and migration exclude ordinary access. Protected package writes are serialized. A read made after a successful write observes the committed set.</w:t>
      </w:r>
    </w:p>
    <w:p>
      <w:pPr>
        <w:jc w:val="left"/>
      </w:pPr>
      <w:r>
        <w:t>The design does not require distributed transactions, nested transactions, write batching across unrelated domains, or separate read and write databases.</w:t>
      </w:r>
    </w:p>
    <w:p>
      <w:pPr>
        <w:pStyle w:val="Heading2"/>
        <w:jc w:val="left"/>
      </w:pPr>
      <w:r>
        <w:t>13.7 Performance expectation</w:t>
      </w:r>
    </w:p>
    <w:p>
      <w:pPr>
        <w:jc w:val="left"/>
      </w:pPr>
      <w:r>
        <w:t>The complete protected set and an equality lookup must remain fast for the number of launchable applications reasonably present on a supported phone. The design favors predictable lookup and minimal writes over throughput for a large enterprise dataset.</w:t>
      </w:r>
    </w:p>
    <w:p>
      <w:pPr>
        <w:jc w:val="left"/>
      </w:pPr>
      <w:r>
        <w:t>Performance measurement does not persist package identifiers or query histories.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