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Database Design Specification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16. Migration Strategy</w:t>
      </w:r>
    </w:p>
    <w:p>
      <w:pPr>
        <w:pStyle w:val="Heading2"/>
        <w:jc w:val="left"/>
      </w:pPr>
      <w:r>
        <w:t>16.1 Purpose</w:t>
      </w:r>
    </w:p>
    <w:p>
      <w:pPr>
        <w:jc w:val="left"/>
      </w:pPr>
      <w:r>
        <w:t>Migration allows an installation with an explicitly supported earlier local schema to open under version 1.0.0 without losing retained protected-package selections or the ordinary settings that remain applicable.</w:t>
      </w:r>
    </w:p>
    <w:p>
      <w:pPr>
        <w:jc w:val="left"/>
      </w:pPr>
      <w:r>
        <w:t>Migration is not a general compatibility promise for every development schema, every future version, or excluded feature data.</w:t>
      </w:r>
    </w:p>
    <w:p>
      <w:pPr>
        <w:pStyle w:val="Heading2"/>
        <w:jc w:val="left"/>
      </w:pPr>
      <w:r>
        <w:t>16.2 Supported source identification</w:t>
      </w:r>
    </w:p>
    <w:p>
      <w:pPr>
        <w:jc w:val="left"/>
      </w:pPr>
      <w:r>
        <w:t>Version 1.0.0 supports a clean installation and migration from the immediately preceding installed schema only when that source declares its exact format as schema version 1. No other earlier or development schema is supported. A source version is supported only when:</w:t>
      </w:r>
    </w:p>
    <w:p>
      <w:pPr>
        <w:pStyle w:val="ListBullet"/>
        <w:jc w:val="left"/>
      </w:pPr>
      <w:r>
        <w:t>it existed in an installation intended to be upgraded;</w:t>
      </w:r>
    </w:p>
    <w:p>
      <w:pPr>
        <w:pStyle w:val="ListBullet"/>
        <w:jc w:val="left"/>
      </w:pPr>
      <w:r>
        <w:t>its format can be identified deterministically;</w:t>
      </w:r>
    </w:p>
    <w:p>
      <w:pPr>
        <w:pStyle w:val="ListBullet"/>
        <w:jc w:val="left"/>
      </w:pPr>
      <w:r>
        <w:t>its retained data can be read without weakening encryption;</w:t>
      </w:r>
    </w:p>
    <w:p>
      <w:pPr>
        <w:pStyle w:val="ListBullet"/>
        <w:jc w:val="left"/>
      </w:pPr>
      <w:r>
        <w:t>a repeatable test fixture exists; and</w:t>
      </w:r>
    </w:p>
    <w:p>
      <w:pPr>
        <w:pStyle w:val="ListBullet"/>
        <w:jc w:val="left"/>
      </w:pPr>
      <w:r>
        <w:t>the migration can verify the result.</w:t>
      </w:r>
    </w:p>
    <w:p>
      <w:pPr>
        <w:jc w:val="left"/>
      </w:pPr>
      <w:r>
        <w:t>An unknown, newer, malformed, or unlisted schema is not opened as if it were current.</w:t>
      </w:r>
    </w:p>
    <w:p>
      <w:pPr>
        <w:pStyle w:val="Heading2"/>
        <w:jc w:val="left"/>
      </w:pPr>
      <w:r>
        <w:t>16.3 Migration boundary</w:t>
      </w:r>
    </w:p>
    <w:p>
      <w:pPr>
        <w:jc w:val="left"/>
      </w:pPr>
      <w:r>
        <w:t>Migration preserves:</w:t>
      </w:r>
    </w:p>
    <w:p>
      <w:pPr>
        <w:pStyle w:val="ListBullet"/>
        <w:jc w:val="left"/>
      </w:pPr>
      <w:r>
        <w:t>unique valid protected package identifiers;</w:t>
      </w:r>
    </w:p>
    <w:p>
      <w:pPr>
        <w:pStyle w:val="ListBullet"/>
        <w:jc w:val="left"/>
      </w:pPr>
      <w:r>
        <w:t>retained ordinary settings whose values remain supported;</w:t>
      </w:r>
    </w:p>
    <w:p>
      <w:pPr>
        <w:pStyle w:val="ListBullet"/>
        <w:jc w:val="left"/>
      </w:pPr>
      <w:r>
        <w:t>the retained biometric preference when its protected format is valid;</w:t>
      </w:r>
    </w:p>
    <w:p>
      <w:pPr>
        <w:pStyle w:val="ListBullet"/>
        <w:jc w:val="left"/>
      </w:pPr>
      <w:r>
        <w:t>the current complete PIN verifier when its protected format is explicitly supported;</w:t>
      </w:r>
    </w:p>
    <w:p>
      <w:pPr>
        <w:pStyle w:val="ListBullet"/>
        <w:jc w:val="left"/>
      </w:pPr>
      <w:r>
        <w:t>failed-attempt and active lockout state; and</w:t>
      </w:r>
    </w:p>
    <w:p>
      <w:pPr>
        <w:pStyle w:val="ListBullet"/>
        <w:jc w:val="left"/>
      </w:pPr>
      <w:r>
        <w:t>the database encryption boundary.</w:t>
      </w:r>
    </w:p>
    <w:p>
      <w:pPr>
        <w:jc w:val="left"/>
      </w:pPr>
      <w:r>
        <w:t>Migration is not required to preserve:</w:t>
      </w:r>
    </w:p>
    <w:p>
      <w:pPr>
        <w:pStyle w:val="ListBullet"/>
        <w:jc w:val="left"/>
      </w:pPr>
      <w:r>
        <w:t>vault, backup, recovery, schedule, automation, profile, group, notification-history, event-history, diagnostic, metric, media, or remote-account information;</w:t>
      </w:r>
    </w:p>
    <w:p>
      <w:pPr>
        <w:pStyle w:val="ListBullet"/>
        <w:jc w:val="left"/>
      </w:pPr>
      <w:r>
        <w:t>installed-application labels and icons;</w:t>
      </w:r>
    </w:p>
    <w:p>
      <w:pPr>
        <w:pStyle w:val="ListBullet"/>
        <w:jc w:val="left"/>
      </w:pPr>
      <w:r>
        <w:t>sessions, current foreground identity, active lock request, or health history; or</w:t>
      </w:r>
    </w:p>
    <w:p>
      <w:pPr>
        <w:pStyle w:val="ListBullet"/>
        <w:jc w:val="left"/>
      </w:pPr>
      <w:r>
        <w:t>unsupported settings that have no version 1.0.0 behavior.</w:t>
      </w:r>
    </w:p>
    <w:p>
      <w:pPr>
        <w:pStyle w:val="Heading2"/>
        <w:jc w:val="left"/>
      </w:pPr>
      <w:r>
        <w:t>16.4 Migration sequence</w:t>
      </w:r>
    </w:p>
    <w:p>
      <w:pPr>
        <w:jc w:val="left"/>
      </w:pPr>
      <w:r>
        <w:t>For an existing installation:</w:t>
      </w:r>
    </w:p>
    <w:p>
      <w:pPr>
        <w:pStyle w:val="ListNumber"/>
        <w:jc w:val="left"/>
      </w:pPr>
      <w:r>
        <w:t>identify protected preference format and database format without normal application access;</w:t>
      </w:r>
    </w:p>
    <w:p>
      <w:pPr>
        <w:pStyle w:val="ListNumber"/>
        <w:jc w:val="left"/>
      </w:pPr>
      <w:r>
        <w:t>confirm that the source is explicitly supported;</w:t>
      </w:r>
    </w:p>
    <w:p>
      <w:pPr>
        <w:pStyle w:val="ListNumber"/>
        <w:jc w:val="left"/>
      </w:pPr>
      <w:r>
        <w:t>obtain or create the Keystore-protected material required by the target encrypted database;</w:t>
      </w:r>
    </w:p>
    <w:p>
      <w:pPr>
        <w:pStyle w:val="ListNumber"/>
        <w:jc w:val="left"/>
      </w:pPr>
      <w:r>
        <w:t>preserve the prior consistent database until target verification succeeds;</w:t>
      </w:r>
    </w:p>
    <w:p>
      <w:pPr>
        <w:pStyle w:val="ListNumber"/>
        <w:jc w:val="left"/>
      </w:pPr>
      <w:r>
        <w:t>open the source using only the approved read path;</w:t>
      </w:r>
    </w:p>
    <w:p>
      <w:pPr>
        <w:pStyle w:val="ListNumber"/>
        <w:jc w:val="left"/>
      </w:pPr>
      <w:r>
        <w:t>normalize and deduplicate retained protected package identifiers;</w:t>
      </w:r>
    </w:p>
    <w:p>
      <w:pPr>
        <w:pStyle w:val="ListNumber"/>
        <w:jc w:val="left"/>
      </w:pPr>
      <w:r>
        <w:t>write retained data into the target schema in a transaction;</w:t>
      </w:r>
    </w:p>
    <w:p>
      <w:pPr>
        <w:pStyle w:val="ListNumber"/>
        <w:jc w:val="left"/>
      </w:pPr>
      <w:r>
        <w:t>apply retained setting conversion with safe defaults for invalid optional values;</w:t>
      </w:r>
    </w:p>
    <w:p>
      <w:pPr>
        <w:pStyle w:val="ListNumber"/>
        <w:jc w:val="left"/>
      </w:pPr>
      <w:r>
        <w:t>verify target schema version, encrypted opening, uniqueness, record accessibility, and retained record count;</w:t>
      </w:r>
    </w:p>
    <w:p>
      <w:pPr>
        <w:pStyle w:val="ListNumber"/>
        <w:jc w:val="left"/>
      </w:pPr>
      <w:r>
        <w:t>commit and make the target authoritative; and</w:t>
      </w:r>
    </w:p>
    <w:p>
      <w:pPr>
        <w:pStyle w:val="ListNumber"/>
        <w:jc w:val="left"/>
      </w:pPr>
      <w:r>
        <w:t>remove obsolete plaintext or temporary migration material after successful verification.</w:t>
      </w:r>
    </w:p>
    <w:p>
      <w:pPr>
        <w:jc w:val="left"/>
      </w:pPr>
      <w:r>
        <w:t>Normal protection monitoring begins only after step 10.</w:t>
      </w:r>
    </w:p>
    <w:p>
      <w:pPr>
        <w:pStyle w:val="Heading2"/>
        <w:jc w:val="left"/>
      </w:pPr>
      <w:r>
        <w:t>16.5 Plaintext-source handling</w:t>
      </w:r>
    </w:p>
    <w:p>
      <w:pPr>
        <w:jc w:val="left"/>
      </w:pPr>
      <w:r>
        <w:t>If an explicitly supported earlier installation used a plaintext relational database, migration reads it only from private storage and only for the single conversion. The target is encrypted before it becomes authoritative.</w:t>
      </w:r>
    </w:p>
    <w:p>
      <w:pPr>
        <w:jc w:val="left"/>
      </w:pPr>
      <w:r>
        <w:t>The plaintext source remains untouched until target verification succeeds. After success it is removed. The application does not continue using it, retain it as a long-term backup, or create another plaintext copy.</w:t>
      </w:r>
    </w:p>
    <w:p>
      <w:pPr>
        <w:pStyle w:val="Heading2"/>
        <w:jc w:val="left"/>
      </w:pPr>
      <w:r>
        <w:t>16.6 Credential-format upgrade</w:t>
      </w:r>
    </w:p>
    <w:p>
      <w:pPr>
        <w:jc w:val="left"/>
      </w:pPr>
      <w:r>
        <w:t>A supported older PIN verifier may be upgraded after the user successfully authenticates with it. Verification uses the stored source parameters. The target memory-hard verifier is written atomically and becomes authoritative only after a complete protected write.</w:t>
      </w:r>
    </w:p>
    <w:p>
      <w:pPr>
        <w:jc w:val="left"/>
      </w:pPr>
      <w:r>
        <w:t>The application does not weaken the current verifier merely to migrate it without authentication.</w:t>
      </w:r>
    </w:p>
    <w:p>
      <w:pPr>
        <w:pStyle w:val="Heading2"/>
        <w:jc w:val="left"/>
      </w:pPr>
      <w:r>
        <w:t>16.7 Interrupted migration</w:t>
      </w:r>
    </w:p>
    <w:p>
      <w:pPr>
        <w:jc w:val="left"/>
      </w:pPr>
      <w:r>
        <w:t>After process death, reboot, or storage interruption during migration:</w:t>
      </w:r>
    </w:p>
    <w:p>
      <w:pPr>
        <w:pStyle w:val="ListBullet"/>
        <w:jc w:val="left"/>
      </w:pPr>
      <w:r>
        <w:t>a committed verified target is used;</w:t>
      </w:r>
    </w:p>
    <w:p>
      <w:pPr>
        <w:pStyle w:val="ListBullet"/>
        <w:jc w:val="left"/>
      </w:pPr>
      <w:r>
        <w:t>an uncommitted target is discarded or safely retried;</w:t>
      </w:r>
    </w:p>
    <w:p>
      <w:pPr>
        <w:pStyle w:val="ListBullet"/>
        <w:jc w:val="left"/>
      </w:pPr>
      <w:r>
        <w:t>the prior consistent source remains authoritative until target verification succeeds;</w:t>
      </w:r>
    </w:p>
    <w:p>
      <w:pPr>
        <w:pStyle w:val="ListBullet"/>
        <w:jc w:val="left"/>
      </w:pPr>
      <w:r>
        <w:t>partial target data is not exposed to normal repositories; and</w:t>
      </w:r>
    </w:p>
    <w:p>
      <w:pPr>
        <w:pStyle w:val="ListBullet"/>
        <w:jc w:val="left"/>
      </w:pPr>
      <w:r>
        <w:t>all sessions remain cleared.</w:t>
      </w:r>
    </w:p>
    <w:p>
      <w:pPr>
        <w:jc w:val="left"/>
      </w:pPr>
      <w:r>
        <w:t>Migration is idempotent at the version boundary and does not duplicate protected package rows.</w:t>
      </w:r>
    </w:p>
    <w:p>
      <w:pPr>
        <w:pStyle w:val="Heading2"/>
        <w:jc w:val="left"/>
      </w:pPr>
      <w:r>
        <w:t>16.8 Migration failure</w:t>
      </w:r>
    </w:p>
    <w:p>
      <w:pPr>
        <w:jc w:val="left"/>
      </w:pPr>
      <w:r>
        <w:t>A failed migration produces an unavailable local-configuration state. The application does not:</w:t>
      </w:r>
    </w:p>
    <w:p>
      <w:pPr>
        <w:pStyle w:val="ListBullet"/>
        <w:jc w:val="left"/>
      </w:pPr>
      <w:r>
        <w:t>silently create an empty database;</w:t>
      </w:r>
    </w:p>
    <w:p>
      <w:pPr>
        <w:pStyle w:val="ListBullet"/>
        <w:jc w:val="left"/>
      </w:pPr>
      <w:r>
        <w:t>delete the prior source before target verification;</w:t>
      </w:r>
    </w:p>
    <w:p>
      <w:pPr>
        <w:pStyle w:val="ListBullet"/>
        <w:jc w:val="left"/>
      </w:pPr>
      <w:r>
        <w:t>ignore invalid package records without reporting the overall outcome;</w:t>
      </w:r>
    </w:p>
    <w:p>
      <w:pPr>
        <w:pStyle w:val="ListBullet"/>
        <w:jc w:val="left"/>
      </w:pPr>
      <w:r>
        <w:t>continue with a partially migrated schema; or</w:t>
      </w:r>
    </w:p>
    <w:p>
      <w:pPr>
        <w:pStyle w:val="ListBullet"/>
        <w:jc w:val="left"/>
      </w:pPr>
      <w:r>
        <w:t>describe selected applications as protected.</w:t>
      </w:r>
    </w:p>
    <w:p>
      <w:pPr>
        <w:jc w:val="left"/>
      </w:pPr>
      <w:r>
        <w:t>If bounded retry cannot complete the explicitly supported migration, the user is told that local configuration cannot be recovered in version 1.0.0 and may clear application data to start again.</w:t>
      </w:r>
    </w:p>
    <w:p>
      <w:pPr>
        <w:pStyle w:val="Heading2"/>
        <w:jc w:val="left"/>
      </w:pPr>
      <w:r>
        <w:t>16.9 Downgrade</w:t>
      </w:r>
    </w:p>
    <w:p>
      <w:pPr>
        <w:jc w:val="left"/>
      </w:pPr>
      <w:r>
        <w:t>Database downgrade is unsupported. Installing software that expects an earlier schema must not destructively rewrite a newer database.</w:t>
      </w:r>
    </w:p>
    <w:p>
      <w:pPr>
        <w:pStyle w:val="Heading2"/>
        <w:jc w:val="left"/>
      </w:pPr>
      <w:r>
        <w:t>16.10 Migration performance</w:t>
      </w:r>
    </w:p>
    <w:p>
      <w:pPr>
        <w:jc w:val="left"/>
      </w:pPr>
      <w:r>
        <w:t>Migration executes away from the user-interface thread and shows a blocking startup state. The retained dataset is small. No separate migration scheduler, progress history, analytics record, or background continuation service is required.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