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Database Design Specification</w:t>
      </w:r>
    </w:p>
    <w:p>
      <w:pPr>
        <w:pStyle w:val="Heading1"/>
        <w:jc w:val="left"/>
      </w:pPr>
      <w:r>
        <w:t>Version 1.0.0</w:t>
      </w:r>
    </w:p>
    <w:p>
      <w:pPr>
        <w:pStyle w:val="Heading1"/>
        <w:jc w:val="left"/>
      </w:pPr>
      <w:r>
        <w:t>19. Database Operation and Failure Handling</w:t>
      </w:r>
    </w:p>
    <w:p>
      <w:pPr>
        <w:pStyle w:val="Heading2"/>
        <w:jc w:val="left"/>
      </w:pPr>
      <w:r>
        <w:t>19.1 Startup health check</w:t>
      </w:r>
    </w:p>
    <w:p>
      <w:pPr>
        <w:jc w:val="left"/>
      </w:pPr>
      <w:r>
        <w:t>Startup verifies:</w:t>
      </w:r>
    </w:p>
    <w:p>
      <w:pPr>
        <w:pStyle w:val="ListBullet"/>
        <w:jc w:val="left"/>
      </w:pPr>
      <w:r>
        <w:t>protected preference accessibility;</w:t>
      </w:r>
    </w:p>
    <w:p>
      <w:pPr>
        <w:pStyle w:val="ListBullet"/>
        <w:jc w:val="left"/>
      </w:pPr>
      <w:r>
        <w:t>database-opening material availability;</w:t>
      </w:r>
    </w:p>
    <w:p>
      <w:pPr>
        <w:pStyle w:val="ListBullet"/>
        <w:jc w:val="left"/>
      </w:pPr>
      <w:r>
        <w:t>encrypted database opening;</w:t>
      </w:r>
    </w:p>
    <w:p>
      <w:pPr>
        <w:pStyle w:val="ListBullet"/>
        <w:jc w:val="left"/>
      </w:pPr>
      <w:r>
        <w:t>supported schema version;</w:t>
      </w:r>
    </w:p>
    <w:p>
      <w:pPr>
        <w:pStyle w:val="ListBullet"/>
        <w:jc w:val="left"/>
      </w:pPr>
      <w:r>
        <w:t>successful completion of any required migration;</w:t>
      </w:r>
    </w:p>
    <w:p>
      <w:pPr>
        <w:pStyle w:val="ListBullet"/>
        <w:jc w:val="left"/>
      </w:pPr>
      <w:r>
        <w:t>protected-package uniqueness; and</w:t>
      </w:r>
    </w:p>
    <w:p>
      <w:pPr>
        <w:pStyle w:val="ListBullet"/>
        <w:jc w:val="left"/>
      </w:pPr>
      <w:r>
        <w:t>readable protected-package rows.</w:t>
      </w:r>
    </w:p>
    <w:p>
      <w:pPr>
        <w:jc w:val="left"/>
      </w:pPr>
      <w:r>
        <w:t>A full periodic integrity scanner is not required. Additional integrity checks run when startup, migration, or a database error indicates a problem.</w:t>
      </w:r>
    </w:p>
    <w:p>
      <w:pPr>
        <w:pStyle w:val="Heading2"/>
        <w:jc w:val="left"/>
      </w:pPr>
      <w:r>
        <w:t>19.2 Ordinary operation</w:t>
      </w:r>
    </w:p>
    <w:p>
      <w:pPr>
        <w:jc w:val="left"/>
      </w:pPr>
      <w:r>
        <w:t>The primary database remains closed to presentation and detector code. The protected-package persistence boundary maintains the verified database connection or lifecycle supplied by the selected framework.</w:t>
      </w:r>
    </w:p>
    <w:p>
      <w:pPr>
        <w:jc w:val="left"/>
      </w:pPr>
      <w:r>
        <w:t>Reads and writes are small, local, and independent of network state.</w:t>
      </w:r>
    </w:p>
    <w:p>
      <w:pPr>
        <w:pStyle w:val="Heading2"/>
        <w:jc w:val="left"/>
      </w:pPr>
      <w:r>
        <w:t>19.3 Failure classification</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3080"/>
        <w:gridCol w:w="3080"/>
        <w:gridCol w:w="3080"/>
      </w:tblGrid>
      <w:tr>
        <w:trPr>
          <w:tblHeader w:val="true"/>
        </w:trPr>
        <w:tc>
          <w:tcPr>
            <w:tcW w:type="dxa" w:w="3216"/>
            <w:vAlign w:val="center"/>
            <w:shd w:fill="D9E1F2"/>
            <w:tcW w:type="dxa" w:w="3080"/>
          </w:tcPr>
          <w:p>
            <w:pPr>
              <w:spacing w:after="40"/>
            </w:pPr>
            <w:r>
              <w:rPr>
                <w:rFonts w:ascii="Times New Roman" w:hAnsi="Times New Roman"/>
                <w:b/>
                <w:sz w:val="19"/>
              </w:rPr>
              <w:t>Failure</w:t>
            </w:r>
          </w:p>
        </w:tc>
        <w:tc>
          <w:tcPr>
            <w:tcW w:type="dxa" w:w="3216"/>
            <w:vAlign w:val="center"/>
            <w:shd w:fill="D9E1F2"/>
            <w:tcW w:type="dxa" w:w="3080"/>
          </w:tcPr>
          <w:p>
            <w:pPr>
              <w:spacing w:after="40"/>
            </w:pPr>
            <w:r>
              <w:rPr>
                <w:rFonts w:ascii="Times New Roman" w:hAnsi="Times New Roman"/>
                <w:b/>
                <w:sz w:val="19"/>
              </w:rPr>
              <w:t>Stored state treatment</w:t>
            </w:r>
          </w:p>
        </w:tc>
        <w:tc>
          <w:tcPr>
            <w:tcW w:type="dxa" w:w="3216"/>
            <w:vAlign w:val="center"/>
            <w:shd w:fill="D9E1F2"/>
            <w:tcW w:type="dxa" w:w="3080"/>
          </w:tcPr>
          <w:p>
            <w:pPr>
              <w:spacing w:after="40"/>
            </w:pPr>
            <w:r>
              <w:rPr>
                <w:rFonts w:ascii="Times New Roman" w:hAnsi="Times New Roman"/>
                <w:b/>
                <w:sz w:val="19"/>
              </w:rPr>
              <w:t>Product result</w:t>
            </w:r>
          </w:p>
        </w:tc>
      </w:tr>
      <w:tr>
        <w:trPr>
          <w:cantSplit/>
        </w:trPr>
        <w:tc>
          <w:tcPr>
            <w:tcW w:type="dxa" w:w="3216"/>
            <w:vAlign w:val="top"/>
            <w:tcW w:type="dxa" w:w="3080"/>
          </w:tcPr>
          <w:p>
            <w:pPr>
              <w:spacing w:before="20" w:after="40"/>
            </w:pPr>
            <w:r>
              <w:rPr>
                <w:rFonts w:ascii="Times New Roman" w:hAnsi="Times New Roman"/>
                <w:sz w:val="19"/>
              </w:rPr>
              <w:t>Ordinary preference value invalid</w:t>
            </w:r>
          </w:p>
        </w:tc>
        <w:tc>
          <w:tcPr>
            <w:tcW w:type="dxa" w:w="3216"/>
            <w:vAlign w:val="top"/>
            <w:tcW w:type="dxa" w:w="3080"/>
          </w:tcPr>
          <w:p>
            <w:pPr>
              <w:spacing w:before="20" w:after="40"/>
            </w:pPr>
            <w:r>
              <w:rPr>
                <w:rFonts w:ascii="Times New Roman" w:hAnsi="Times New Roman"/>
                <w:sz w:val="19"/>
              </w:rPr>
              <w:t>Use documented safe default</w:t>
            </w:r>
          </w:p>
        </w:tc>
        <w:tc>
          <w:tcPr>
            <w:tcW w:type="dxa" w:w="3216"/>
            <w:vAlign w:val="top"/>
            <w:tcW w:type="dxa" w:w="3080"/>
          </w:tcPr>
          <w:p>
            <w:pPr>
              <w:spacing w:before="20" w:after="40"/>
            </w:pPr>
            <w:r>
              <w:rPr>
                <w:rFonts w:ascii="Times New Roman" w:hAnsi="Times New Roman"/>
                <w:sz w:val="19"/>
              </w:rPr>
              <w:t>Continue and allow user correction</w:t>
            </w:r>
          </w:p>
        </w:tc>
      </w:tr>
      <w:tr>
        <w:trPr>
          <w:cantSplit/>
        </w:trPr>
        <w:tc>
          <w:tcPr>
            <w:tcW w:type="dxa" w:w="3216"/>
            <w:vAlign w:val="top"/>
            <w:tcW w:type="dxa" w:w="3080"/>
          </w:tcPr>
          <w:p>
            <w:pPr>
              <w:spacing w:before="20" w:after="40"/>
            </w:pPr>
            <w:r>
              <w:rPr>
                <w:rFonts w:ascii="Times New Roman" w:hAnsi="Times New Roman"/>
                <w:sz w:val="19"/>
              </w:rPr>
              <w:t>Protected preference cannot decrypt</w:t>
            </w:r>
          </w:p>
        </w:tc>
        <w:tc>
          <w:tcPr>
            <w:tcW w:type="dxa" w:w="3216"/>
            <w:vAlign w:val="top"/>
            <w:tcW w:type="dxa" w:w="3080"/>
          </w:tcPr>
          <w:p>
            <w:pPr>
              <w:spacing w:before="20" w:after="40"/>
            </w:pPr>
            <w:r>
              <w:rPr>
                <w:rFonts w:ascii="Times New Roman" w:hAnsi="Times New Roman"/>
                <w:sz w:val="19"/>
              </w:rPr>
              <w:t>Do not substitute empty values</w:t>
            </w:r>
          </w:p>
        </w:tc>
        <w:tc>
          <w:tcPr>
            <w:tcW w:type="dxa" w:w="3216"/>
            <w:vAlign w:val="top"/>
            <w:tcW w:type="dxa" w:w="3080"/>
          </w:tcPr>
          <w:p>
            <w:pPr>
              <w:spacing w:before="20" w:after="40"/>
            </w:pPr>
            <w:r>
              <w:rPr>
                <w:rFonts w:ascii="Times New Roman" w:hAnsi="Times New Roman"/>
                <w:sz w:val="19"/>
              </w:rPr>
              <w:t>Authentication or database initialization unavailable</w:t>
            </w:r>
          </w:p>
        </w:tc>
      </w:tr>
      <w:tr>
        <w:trPr>
          <w:cantSplit/>
        </w:trPr>
        <w:tc>
          <w:tcPr>
            <w:tcW w:type="dxa" w:w="3216"/>
            <w:vAlign w:val="top"/>
            <w:tcW w:type="dxa" w:w="3080"/>
          </w:tcPr>
          <w:p>
            <w:pPr>
              <w:spacing w:before="20" w:after="40"/>
            </w:pPr>
            <w:r>
              <w:rPr>
                <w:rFonts w:ascii="Times New Roman" w:hAnsi="Times New Roman"/>
                <w:sz w:val="19"/>
              </w:rPr>
              <w:t>Database-opening material missing</w:t>
            </w:r>
          </w:p>
        </w:tc>
        <w:tc>
          <w:tcPr>
            <w:tcW w:type="dxa" w:w="3216"/>
            <w:vAlign w:val="top"/>
            <w:tcW w:type="dxa" w:w="3080"/>
          </w:tcPr>
          <w:p>
            <w:pPr>
              <w:spacing w:before="20" w:after="40"/>
            </w:pPr>
            <w:r>
              <w:rPr>
                <w:rFonts w:ascii="Times New Roman" w:hAnsi="Times New Roman"/>
                <w:sz w:val="19"/>
              </w:rPr>
              <w:t>Do not generate a replacement for the existing database</w:t>
            </w:r>
          </w:p>
        </w:tc>
        <w:tc>
          <w:tcPr>
            <w:tcW w:type="dxa" w:w="3216"/>
            <w:vAlign w:val="top"/>
            <w:tcW w:type="dxa" w:w="3080"/>
          </w:tcPr>
          <w:p>
            <w:pPr>
              <w:spacing w:before="20" w:after="40"/>
            </w:pPr>
            <w:r>
              <w:rPr>
                <w:rFonts w:ascii="Times New Roman" w:hAnsi="Times New Roman"/>
                <w:sz w:val="19"/>
              </w:rPr>
              <w:t>Unrecoverable local configuration</w:t>
            </w:r>
          </w:p>
        </w:tc>
      </w:tr>
      <w:tr>
        <w:trPr>
          <w:cantSplit/>
        </w:trPr>
        <w:tc>
          <w:tcPr>
            <w:tcW w:type="dxa" w:w="3216"/>
            <w:vAlign w:val="top"/>
            <w:tcW w:type="dxa" w:w="3080"/>
          </w:tcPr>
          <w:p>
            <w:pPr>
              <w:spacing w:before="20" w:after="40"/>
            </w:pPr>
            <w:r>
              <w:rPr>
                <w:rFonts w:ascii="Times New Roman" w:hAnsi="Times New Roman"/>
                <w:sz w:val="19"/>
              </w:rPr>
              <w:t>Database open failure</w:t>
            </w:r>
          </w:p>
        </w:tc>
        <w:tc>
          <w:tcPr>
            <w:tcW w:type="dxa" w:w="3216"/>
            <w:vAlign w:val="top"/>
            <w:tcW w:type="dxa" w:w="3080"/>
          </w:tcPr>
          <w:p>
            <w:pPr>
              <w:spacing w:before="20" w:after="40"/>
            </w:pPr>
            <w:r>
              <w:rPr>
                <w:rFonts w:ascii="Times New Roman" w:hAnsi="Times New Roman"/>
                <w:sz w:val="19"/>
              </w:rPr>
              <w:t>Preserve files; do not create an empty store</w:t>
            </w:r>
          </w:p>
        </w:tc>
        <w:tc>
          <w:tcPr>
            <w:tcW w:type="dxa" w:w="3216"/>
            <w:vAlign w:val="top"/>
            <w:tcW w:type="dxa" w:w="3080"/>
          </w:tcPr>
          <w:p>
            <w:pPr>
              <w:spacing w:before="20" w:after="40"/>
            </w:pPr>
            <w:r>
              <w:rPr>
                <w:rFonts w:ascii="Times New Roman" w:hAnsi="Times New Roman"/>
                <w:sz w:val="19"/>
              </w:rPr>
              <w:t>Retry where safe, otherwise clear-data guidance</w:t>
            </w:r>
          </w:p>
        </w:tc>
      </w:tr>
      <w:tr>
        <w:trPr>
          <w:cantSplit/>
        </w:trPr>
        <w:tc>
          <w:tcPr>
            <w:tcW w:type="dxa" w:w="3216"/>
            <w:vAlign w:val="top"/>
            <w:tcW w:type="dxa" w:w="3080"/>
          </w:tcPr>
          <w:p>
            <w:pPr>
              <w:spacing w:before="20" w:after="40"/>
            </w:pPr>
            <w:r>
              <w:rPr>
                <w:rFonts w:ascii="Times New Roman" w:hAnsi="Times New Roman"/>
                <w:sz w:val="19"/>
              </w:rPr>
              <w:t>Unsupported schema</w:t>
            </w:r>
          </w:p>
        </w:tc>
        <w:tc>
          <w:tcPr>
            <w:tcW w:type="dxa" w:w="3216"/>
            <w:vAlign w:val="top"/>
            <w:tcW w:type="dxa" w:w="3080"/>
          </w:tcPr>
          <w:p>
            <w:pPr>
              <w:spacing w:before="20" w:after="40"/>
            </w:pPr>
            <w:r>
              <w:rPr>
                <w:rFonts w:ascii="Times New Roman" w:hAnsi="Times New Roman"/>
                <w:sz w:val="19"/>
              </w:rPr>
              <w:t>No ordinary access</w:t>
            </w:r>
          </w:p>
        </w:tc>
        <w:tc>
          <w:tcPr>
            <w:tcW w:type="dxa" w:w="3216"/>
            <w:vAlign w:val="top"/>
            <w:tcW w:type="dxa" w:w="3080"/>
          </w:tcPr>
          <w:p>
            <w:pPr>
              <w:spacing w:before="20" w:after="40"/>
            </w:pPr>
            <w:r>
              <w:rPr>
                <w:rFonts w:ascii="Times New Roman" w:hAnsi="Times New Roman"/>
                <w:sz w:val="19"/>
              </w:rPr>
              <w:t>Unsupported local data; clear-data guidance</w:t>
            </w:r>
          </w:p>
        </w:tc>
      </w:tr>
      <w:tr>
        <w:trPr>
          <w:cantSplit/>
        </w:trPr>
        <w:tc>
          <w:tcPr>
            <w:tcW w:type="dxa" w:w="3216"/>
            <w:vAlign w:val="top"/>
            <w:tcW w:type="dxa" w:w="3080"/>
          </w:tcPr>
          <w:p>
            <w:pPr>
              <w:spacing w:before="20" w:after="40"/>
            </w:pPr>
            <w:r>
              <w:rPr>
                <w:rFonts w:ascii="Times New Roman" w:hAnsi="Times New Roman"/>
                <w:sz w:val="19"/>
              </w:rPr>
              <w:t>Migration failure</w:t>
            </w:r>
          </w:p>
        </w:tc>
        <w:tc>
          <w:tcPr>
            <w:tcW w:type="dxa" w:w="3216"/>
            <w:vAlign w:val="top"/>
            <w:tcW w:type="dxa" w:w="3080"/>
          </w:tcPr>
          <w:p>
            <w:pPr>
              <w:spacing w:before="20" w:after="40"/>
            </w:pPr>
            <w:r>
              <w:rPr>
                <w:rFonts w:ascii="Times New Roman" w:hAnsi="Times New Roman"/>
                <w:sz w:val="19"/>
              </w:rPr>
              <w:t>Prior consistent source remains where possible</w:t>
            </w:r>
          </w:p>
        </w:tc>
        <w:tc>
          <w:tcPr>
            <w:tcW w:type="dxa" w:w="3216"/>
            <w:vAlign w:val="top"/>
            <w:tcW w:type="dxa" w:w="3080"/>
          </w:tcPr>
          <w:p>
            <w:pPr>
              <w:spacing w:before="20" w:after="40"/>
            </w:pPr>
            <w:r>
              <w:rPr>
                <w:rFonts w:ascii="Times New Roman" w:hAnsi="Times New Roman"/>
                <w:sz w:val="19"/>
              </w:rPr>
              <w:t>No protection claim until resolved</w:t>
            </w:r>
          </w:p>
        </w:tc>
      </w:tr>
      <w:tr>
        <w:trPr>
          <w:cantSplit/>
        </w:trPr>
        <w:tc>
          <w:tcPr>
            <w:tcW w:type="dxa" w:w="3216"/>
            <w:vAlign w:val="top"/>
            <w:tcW w:type="dxa" w:w="3080"/>
          </w:tcPr>
          <w:p>
            <w:pPr>
              <w:spacing w:before="20" w:after="40"/>
            </w:pPr>
            <w:r>
              <w:rPr>
                <w:rFonts w:ascii="Times New Roman" w:hAnsi="Times New Roman"/>
                <w:sz w:val="19"/>
              </w:rPr>
              <w:t>Uniqueness or integrity failure</w:t>
            </w:r>
          </w:p>
        </w:tc>
        <w:tc>
          <w:tcPr>
            <w:tcW w:type="dxa" w:w="3216"/>
            <w:vAlign w:val="top"/>
            <w:tcW w:type="dxa" w:w="3080"/>
          </w:tcPr>
          <w:p>
            <w:pPr>
              <w:spacing w:before="20" w:after="40"/>
            </w:pPr>
            <w:r>
              <w:rPr>
                <w:rFonts w:ascii="Times New Roman" w:hAnsi="Times New Roman"/>
                <w:sz w:val="19"/>
              </w:rPr>
              <w:t>No ordinary protected-set use</w:t>
            </w:r>
          </w:p>
        </w:tc>
        <w:tc>
          <w:tcPr>
            <w:tcW w:type="dxa" w:w="3216"/>
            <w:vAlign w:val="top"/>
            <w:tcW w:type="dxa" w:w="3080"/>
          </w:tcPr>
          <w:p>
            <w:pPr>
              <w:spacing w:before="20" w:after="40"/>
            </w:pPr>
            <w:r>
              <w:rPr>
                <w:rFonts w:ascii="Times New Roman" w:hAnsi="Times New Roman"/>
                <w:sz w:val="19"/>
              </w:rPr>
              <w:t>Unavailable local configuration</w:t>
            </w:r>
          </w:p>
        </w:tc>
      </w:tr>
      <w:tr>
        <w:trPr>
          <w:cantSplit/>
        </w:trPr>
        <w:tc>
          <w:tcPr>
            <w:tcW w:type="dxa" w:w="3216"/>
            <w:vAlign w:val="top"/>
            <w:tcW w:type="dxa" w:w="3080"/>
          </w:tcPr>
          <w:p>
            <w:pPr>
              <w:spacing w:before="20" w:after="40"/>
            </w:pPr>
            <w:r>
              <w:rPr>
                <w:rFonts w:ascii="Times New Roman" w:hAnsi="Times New Roman"/>
                <w:sz w:val="19"/>
              </w:rPr>
              <w:t>Storage exhaustion during add</w:t>
            </w:r>
          </w:p>
        </w:tc>
        <w:tc>
          <w:tcPr>
            <w:tcW w:type="dxa" w:w="3216"/>
            <w:vAlign w:val="top"/>
            <w:tcW w:type="dxa" w:w="3080"/>
          </w:tcPr>
          <w:p>
            <w:pPr>
              <w:spacing w:before="20" w:after="40"/>
            </w:pPr>
            <w:r>
              <w:rPr>
                <w:rFonts w:ascii="Times New Roman" w:hAnsi="Times New Roman"/>
                <w:sz w:val="19"/>
              </w:rPr>
              <w:t>No new row committed</w:t>
            </w:r>
          </w:p>
        </w:tc>
        <w:tc>
          <w:tcPr>
            <w:tcW w:type="dxa" w:w="3216"/>
            <w:vAlign w:val="top"/>
            <w:tcW w:type="dxa" w:w="3080"/>
          </w:tcPr>
          <w:p>
            <w:pPr>
              <w:spacing w:before="20" w:after="40"/>
            </w:pPr>
            <w:r>
              <w:rPr>
                <w:rFonts w:ascii="Times New Roman" w:hAnsi="Times New Roman"/>
                <w:sz w:val="19"/>
              </w:rPr>
              <w:t>Application is not reported protected</w:t>
            </w:r>
          </w:p>
        </w:tc>
      </w:tr>
      <w:tr>
        <w:trPr>
          <w:cantSplit/>
        </w:trPr>
        <w:tc>
          <w:tcPr>
            <w:tcW w:type="dxa" w:w="3216"/>
            <w:vAlign w:val="top"/>
            <w:tcW w:type="dxa" w:w="3080"/>
          </w:tcPr>
          <w:p>
            <w:pPr>
              <w:spacing w:before="20" w:after="40"/>
            </w:pPr>
            <w:r>
              <w:rPr>
                <w:rFonts w:ascii="Times New Roman" w:hAnsi="Times New Roman"/>
                <w:sz w:val="19"/>
              </w:rPr>
              <w:t>Storage exhaustion during remove</w:t>
            </w:r>
          </w:p>
        </w:tc>
        <w:tc>
          <w:tcPr>
            <w:tcW w:type="dxa" w:w="3216"/>
            <w:vAlign w:val="top"/>
            <w:tcW w:type="dxa" w:w="3080"/>
          </w:tcPr>
          <w:p>
            <w:pPr>
              <w:spacing w:before="20" w:after="40"/>
            </w:pPr>
            <w:r>
              <w:rPr>
                <w:rFonts w:ascii="Times New Roman" w:hAnsi="Times New Roman"/>
                <w:sz w:val="19"/>
              </w:rPr>
              <w:t>Existing row remains</w:t>
            </w:r>
          </w:p>
        </w:tc>
        <w:tc>
          <w:tcPr>
            <w:tcW w:type="dxa" w:w="3216"/>
            <w:vAlign w:val="top"/>
            <w:tcW w:type="dxa" w:w="3080"/>
          </w:tcPr>
          <w:p>
            <w:pPr>
              <w:spacing w:before="20" w:after="40"/>
            </w:pPr>
            <w:r>
              <w:rPr>
                <w:rFonts w:ascii="Times New Roman" w:hAnsi="Times New Roman"/>
                <w:sz w:val="19"/>
              </w:rPr>
              <w:t>Application remains protected</w:t>
            </w:r>
          </w:p>
        </w:tc>
      </w:tr>
      <w:tr>
        <w:trPr>
          <w:cantSplit/>
        </w:trPr>
        <w:tc>
          <w:tcPr>
            <w:tcW w:type="dxa" w:w="3216"/>
            <w:vAlign w:val="top"/>
            <w:tcW w:type="dxa" w:w="3080"/>
          </w:tcPr>
          <w:p>
            <w:pPr>
              <w:spacing w:before="20" w:after="40"/>
            </w:pPr>
            <w:r>
              <w:rPr>
                <w:rFonts w:ascii="Times New Roman" w:hAnsi="Times New Roman"/>
                <w:sz w:val="19"/>
              </w:rPr>
              <w:t>Storage exhaustion during PIN change</w:t>
            </w:r>
          </w:p>
        </w:tc>
        <w:tc>
          <w:tcPr>
            <w:tcW w:type="dxa" w:w="3216"/>
            <w:vAlign w:val="top"/>
            <w:tcW w:type="dxa" w:w="3080"/>
          </w:tcPr>
          <w:p>
            <w:pPr>
              <w:spacing w:before="20" w:after="40"/>
            </w:pPr>
            <w:r>
              <w:rPr>
                <w:rFonts w:ascii="Times New Roman" w:hAnsi="Times New Roman"/>
                <w:sz w:val="19"/>
              </w:rPr>
              <w:t>Prior verifier remains</w:t>
            </w:r>
          </w:p>
        </w:tc>
        <w:tc>
          <w:tcPr>
            <w:tcW w:type="dxa" w:w="3216"/>
            <w:vAlign w:val="top"/>
            <w:tcW w:type="dxa" w:w="3080"/>
          </w:tcPr>
          <w:p>
            <w:pPr>
              <w:spacing w:before="20" w:after="40"/>
            </w:pPr>
            <w:r>
              <w:rPr>
                <w:rFonts w:ascii="Times New Roman" w:hAnsi="Times New Roman"/>
                <w:sz w:val="19"/>
              </w:rPr>
              <w:t>Existing PIN remains required</w:t>
            </w:r>
          </w:p>
        </w:tc>
      </w:tr>
    </w:tbl>
    <w:p>
      <w:pPr>
        <w:pStyle w:val="Heading2"/>
        <w:jc w:val="left"/>
      </w:pPr>
      <w:r>
        <w:t>19.4 Bounded retry</w:t>
      </w:r>
    </w:p>
    <w:p>
      <w:pPr>
        <w:jc w:val="left"/>
      </w:pPr>
      <w:r>
        <w:t>A transient open or write failure may be retried once or according to a small bounded local policy when the previous transaction result is known. The database is not repeatedly reopened in a tight loop.</w:t>
      </w:r>
    </w:p>
    <w:p>
      <w:pPr>
        <w:jc w:val="left"/>
      </w:pPr>
      <w:r>
        <w:t>PIN verification and protection-reducing writes are not automatically repeated when commit status is ambiguous.</w:t>
      </w:r>
    </w:p>
    <w:p>
      <w:pPr>
        <w:pStyle w:val="Heading2"/>
        <w:jc w:val="left"/>
      </w:pPr>
      <w:r>
        <w:t>19.5 Corruption</w:t>
      </w:r>
    </w:p>
    <w:p>
      <w:pPr>
        <w:jc w:val="left"/>
      </w:pPr>
      <w:r>
        <w:t>Confirmed corruption blocks normal protected-set access. Version 1.0.0 has no database backup or restore copy. A framework-supported, non-destructive integrity recovery may be used only when it preserves encryption and can verify the resulting retained rows.</w:t>
      </w:r>
    </w:p>
    <w:p>
      <w:pPr>
        <w:jc w:val="left"/>
      </w:pPr>
      <w:r>
        <w:t>Otherwise, the user is told that the local configuration cannot be recovered and that clearing application data will erase settings and protected selections.</w:t>
      </w:r>
    </w:p>
    <w:p>
      <w:pPr>
        <w:pStyle w:val="Heading2"/>
        <w:jc w:val="left"/>
      </w:pPr>
      <w:r>
        <w:t>19.6 Maintenance</w:t>
      </w:r>
    </w:p>
    <w:p>
      <w:pPr>
        <w:jc w:val="left"/>
      </w:pPr>
      <w:r>
        <w:t>No scheduled maintenance worker is required. The selected database framework may perform its normal journal and transaction maintenance. The application does not schedule reindexing, vacuuming, statistics collection, diagnostic pruning, event retention, or metric aggregation for this bounded dataset.</w:t>
      </w:r>
    </w:p>
    <w:p>
      <w:pPr>
        <w:pStyle w:val="Heading2"/>
        <w:jc w:val="left"/>
      </w:pPr>
      <w:r>
        <w:t>19.7 Resource use</w:t>
      </w:r>
    </w:p>
    <w:p>
      <w:pPr>
        <w:jc w:val="left"/>
      </w:pPr>
      <w:r>
        <w:t>Database work executes outside the main thread. Transactions are short. The complete protected set is read once after verified initialization and after a refresh need, not for every foreground polling cycle.</w:t>
      </w:r>
    </w:p>
    <w:p>
      <w:pPr>
        <w:pStyle w:val="Heading2"/>
        <w:jc w:val="left"/>
      </w:pPr>
      <w:r>
        <w:t>19.8 User messages</w:t>
      </w:r>
    </w:p>
    <w:p>
      <w:pPr>
        <w:jc w:val="left"/>
      </w:pPr>
      <w:r>
        <w:t>Storage messages state whether:</w:t>
      </w:r>
    </w:p>
    <w:p>
      <w:pPr>
        <w:pStyle w:val="ListBullet"/>
        <w:jc w:val="left"/>
      </w:pPr>
      <w:r>
        <w:t>a requested change was saved;</w:t>
      </w:r>
    </w:p>
    <w:p>
      <w:pPr>
        <w:pStyle w:val="ListBullet"/>
        <w:jc w:val="left"/>
      </w:pPr>
      <w:r>
        <w:t>existing protection remains active;</w:t>
      </w:r>
    </w:p>
    <w:p>
      <w:pPr>
        <w:pStyle w:val="ListBullet"/>
        <w:jc w:val="left"/>
      </w:pPr>
      <w:r>
        <w:t>local data is temporarily unavailable;</w:t>
      </w:r>
    </w:p>
    <w:p>
      <w:pPr>
        <w:pStyle w:val="ListBullet"/>
        <w:jc w:val="left"/>
      </w:pPr>
      <w:r>
        <w:t>retry is safe;</w:t>
      </w:r>
    </w:p>
    <w:p>
      <w:pPr>
        <w:pStyle w:val="ListBullet"/>
        <w:jc w:val="left"/>
      </w:pPr>
      <w:r>
        <w:t>application data must be cleared; and</w:t>
      </w:r>
    </w:p>
    <w:p>
      <w:pPr>
        <w:pStyle w:val="ListBullet"/>
        <w:jc w:val="left"/>
      </w:pPr>
      <w:r>
        <w:t>clearing data will remove the PIN, settings, and protected selections.</w:t>
      </w:r>
    </w:p>
    <w:p>
      <w:pPr>
        <w:jc w:val="left"/>
      </w:pPr>
      <w:r>
        <w:t>They do not expose file names, physical collection names, encryption details, or internal exception text.</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