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Database Design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20. Verification and Design Rationale</w:t>
      </w:r>
    </w:p>
    <w:p>
      <w:pPr>
        <w:pStyle w:val="Heading2"/>
        <w:jc w:val="left"/>
      </w:pPr>
      <w:r>
        <w:t>20.1 Schema verification</w:t>
      </w:r>
    </w:p>
    <w:p>
      <w:pPr>
        <w:jc w:val="left"/>
      </w:pPr>
      <w:r>
        <w:t>Verification confirms:</w:t>
      </w:r>
    </w:p>
    <w:p>
      <w:pPr>
        <w:pStyle w:val="ListBullet"/>
        <w:jc w:val="left"/>
      </w:pPr>
      <w:r>
        <w:t>the encrypted database opens only with valid protected opening material;</w:t>
      </w:r>
    </w:p>
    <w:p>
      <w:pPr>
        <w:pStyle w:val="ListBullet"/>
        <w:jc w:val="left"/>
      </w:pPr>
      <w:r>
        <w:t>the current schema version is recognized;</w:t>
      </w:r>
    </w:p>
    <w:p>
      <w:pPr>
        <w:pStyle w:val="ListBullet"/>
        <w:jc w:val="left"/>
      </w:pPr>
      <w:r>
        <w:t>the protected package collection exists and is readable;</w:t>
      </w:r>
    </w:p>
    <w:p>
      <w:pPr>
        <w:pStyle w:val="ListBullet"/>
        <w:jc w:val="left"/>
      </w:pPr>
      <w:r>
        <w:t>package identifiers are required and unique;</w:t>
      </w:r>
    </w:p>
    <w:p>
      <w:pPr>
        <w:pStyle w:val="ListBullet"/>
        <w:jc w:val="left"/>
      </w:pPr>
      <w:r>
        <w:t>duplicate add and absent remove are idempotent;</w:t>
      </w:r>
    </w:p>
    <w:p>
      <w:pPr>
        <w:pStyle w:val="ListBullet"/>
        <w:jc w:val="left"/>
      </w:pPr>
      <w:r>
        <w:t>no foreign-key relationship is required by the supported data;</w:t>
      </w:r>
    </w:p>
    <w:p>
      <w:pPr>
        <w:pStyle w:val="ListBullet"/>
        <w:jc w:val="left"/>
      </w:pPr>
      <w:r>
        <w:t>no unsupported domain is needed to open or use the retained collection; and</w:t>
      </w:r>
    </w:p>
    <w:p>
      <w:pPr>
        <w:pStyle w:val="ListBullet"/>
        <w:jc w:val="left"/>
      </w:pPr>
      <w:r>
        <w:t>no silent empty database replaces a failed existing database.</w:t>
      </w:r>
    </w:p>
    <w:p>
      <w:pPr>
        <w:pStyle w:val="Heading2"/>
        <w:jc w:val="left"/>
      </w:pPr>
      <w:r>
        <w:t>20.2 Preference verification</w:t>
      </w:r>
    </w:p>
    <w:p>
      <w:pPr>
        <w:jc w:val="left"/>
      </w:pPr>
      <w:r>
        <w:t>Verification confirms:</w:t>
      </w:r>
    </w:p>
    <w:p>
      <w:pPr>
        <w:pStyle w:val="ListBullet"/>
        <w:jc w:val="left"/>
      </w:pPr>
      <w:r>
        <w:t>ordinary settings accept only supported values and use safe defaults;</w:t>
      </w:r>
    </w:p>
    <w:p>
      <w:pPr>
        <w:pStyle w:val="ListBullet"/>
        <w:jc w:val="left"/>
      </w:pPr>
      <w:r>
        <w:t>the PIN verifier is complete or treated as unavailable;</w:t>
      </w:r>
    </w:p>
    <w:p>
      <w:pPr>
        <w:pStyle w:val="ListBullet"/>
        <w:jc w:val="left"/>
      </w:pPr>
      <w:r>
        <w:t>no raw PIN is stored;</w:t>
      </w:r>
    </w:p>
    <w:p>
      <w:pPr>
        <w:pStyle w:val="ListBullet"/>
        <w:jc w:val="left"/>
      </w:pPr>
      <w:r>
        <w:t>failure count and deadline survive process death, force-stop, and reboot;</w:t>
      </w:r>
    </w:p>
    <w:p>
      <w:pPr>
        <w:pStyle w:val="ListBullet"/>
        <w:jc w:val="left"/>
      </w:pPr>
      <w:r>
        <w:t>successful PIN verification or current-PIN-authorized PIN replacement resets retry state;</w:t>
      </w:r>
    </w:p>
    <w:p>
      <w:pPr>
        <w:pStyle w:val="ListBullet"/>
        <w:jc w:val="left"/>
      </w:pPr>
      <w:r>
        <w:t>PIN replacement is atomic;</w:t>
      </w:r>
    </w:p>
    <w:p>
      <w:pPr>
        <w:pStyle w:val="ListBullet"/>
        <w:jc w:val="left"/>
      </w:pPr>
      <w:r>
        <w:t>biometric preference does not replace current platform eligibility; and</w:t>
      </w:r>
    </w:p>
    <w:p>
      <w:pPr>
        <w:pStyle w:val="ListBullet"/>
        <w:jc w:val="left"/>
      </w:pPr>
      <w:r>
        <w:t>database-opening material remains protected and unexported.</w:t>
      </w:r>
    </w:p>
    <w:p>
      <w:pPr>
        <w:pStyle w:val="Heading2"/>
        <w:jc w:val="left"/>
      </w:pPr>
      <w:r>
        <w:t>20.3 Migration verification</w:t>
      </w:r>
    </w:p>
    <w:p>
      <w:pPr>
        <w:jc w:val="left"/>
      </w:pPr>
      <w:r>
        <w:t>For every explicitly supported source schema, verification covers:</w:t>
      </w:r>
    </w:p>
    <w:p>
      <w:pPr>
        <w:pStyle w:val="ListBullet"/>
        <w:jc w:val="left"/>
      </w:pPr>
      <w:r>
        <w:t>exact source recognition;</w:t>
      </w:r>
    </w:p>
    <w:p>
      <w:pPr>
        <w:pStyle w:val="ListBullet"/>
        <w:jc w:val="left"/>
      </w:pPr>
      <w:r>
        <w:t>retained protected-package record count;</w:t>
      </w:r>
    </w:p>
    <w:p>
      <w:pPr>
        <w:pStyle w:val="ListBullet"/>
        <w:jc w:val="left"/>
      </w:pPr>
      <w:r>
        <w:t>package normalization and deduplication;</w:t>
      </w:r>
    </w:p>
    <w:p>
      <w:pPr>
        <w:pStyle w:val="ListBullet"/>
        <w:jc w:val="left"/>
      </w:pPr>
      <w:r>
        <w:t>retained setting conversion;</w:t>
      </w:r>
    </w:p>
    <w:p>
      <w:pPr>
        <w:pStyle w:val="ListBullet"/>
        <w:jc w:val="left"/>
      </w:pPr>
      <w:r>
        <w:t>encrypted target opening;</w:t>
      </w:r>
    </w:p>
    <w:p>
      <w:pPr>
        <w:pStyle w:val="ListBullet"/>
        <w:jc w:val="left"/>
      </w:pPr>
      <w:r>
        <w:t>target schema and uniqueness;</w:t>
      </w:r>
    </w:p>
    <w:p>
      <w:pPr>
        <w:pStyle w:val="ListBullet"/>
        <w:jc w:val="left"/>
      </w:pPr>
      <w:r>
        <w:t>interrupted migration before and after target commit;</w:t>
      </w:r>
    </w:p>
    <w:p>
      <w:pPr>
        <w:pStyle w:val="ListBullet"/>
        <w:jc w:val="left"/>
      </w:pPr>
      <w:r>
        <w:t>repeated startup after successful migration;</w:t>
      </w:r>
    </w:p>
    <w:p>
      <w:pPr>
        <w:pStyle w:val="ListBullet"/>
        <w:jc w:val="left"/>
      </w:pPr>
      <w:r>
        <w:t>removal of obsolete plaintext or temporary material after verification;</w:t>
      </w:r>
    </w:p>
    <w:p>
      <w:pPr>
        <w:pStyle w:val="ListBullet"/>
        <w:jc w:val="left"/>
      </w:pPr>
      <w:r>
        <w:t>preservation of the prior consistent source before target success; and</w:t>
      </w:r>
    </w:p>
    <w:p>
      <w:pPr>
        <w:pStyle w:val="ListBullet"/>
        <w:jc w:val="left"/>
      </w:pPr>
      <w:r>
        <w:t>failure behavior without destructive fallback.</w:t>
      </w:r>
    </w:p>
    <w:p>
      <w:pPr>
        <w:pStyle w:val="Heading2"/>
        <w:jc w:val="left"/>
      </w:pPr>
      <w:r>
        <w:t>20.4 Backup-exclusion verification</w:t>
      </w:r>
    </w:p>
    <w:p>
      <w:pPr>
        <w:jc w:val="left"/>
      </w:pPr>
      <w:r>
        <w:t>Tests demonstrate that Android backup and restore do not transfer:</w:t>
      </w:r>
    </w:p>
    <w:p>
      <w:pPr>
        <w:pStyle w:val="ListBullet"/>
        <w:jc w:val="left"/>
      </w:pPr>
      <w:r>
        <w:t>ordinary settings;</w:t>
      </w:r>
    </w:p>
    <w:p>
      <w:pPr>
        <w:pStyle w:val="ListBullet"/>
        <w:jc w:val="left"/>
      </w:pPr>
      <w:r>
        <w:t>protected preferences;</w:t>
      </w:r>
    </w:p>
    <w:p>
      <w:pPr>
        <w:pStyle w:val="ListBullet"/>
        <w:jc w:val="left"/>
      </w:pPr>
      <w:r>
        <w:t>PIN verifier or lockout state;</w:t>
      </w:r>
    </w:p>
    <w:p>
      <w:pPr>
        <w:pStyle w:val="ListBullet"/>
        <w:jc w:val="left"/>
      </w:pPr>
      <w:r>
        <w:t>database-opening material;</w:t>
      </w:r>
    </w:p>
    <w:p>
      <w:pPr>
        <w:pStyle w:val="ListBullet"/>
        <w:jc w:val="left"/>
      </w:pPr>
      <w:r>
        <w:t>encrypted database or journals; or</w:t>
      </w:r>
    </w:p>
    <w:p>
      <w:pPr>
        <w:pStyle w:val="ListBullet"/>
        <w:jc w:val="left"/>
      </w:pPr>
      <w:r>
        <w:t>protected package choices.</w:t>
      </w:r>
    </w:p>
    <w:p>
      <w:pPr>
        <w:jc w:val="left"/>
      </w:pPr>
      <w:r>
        <w:t>A new installation on another supported phone begins unconfigured.</w:t>
      </w:r>
    </w:p>
    <w:p>
      <w:pPr>
        <w:pStyle w:val="Heading2"/>
        <w:jc w:val="left"/>
      </w:pPr>
      <w:r>
        <w:t>20.5 Lifecycle verification</w:t>
      </w:r>
    </w:p>
    <w:p>
      <w:pPr>
        <w:jc w:val="left"/>
      </w:pPr>
      <w:r>
        <w:t>Verification covers:</w:t>
      </w:r>
    </w:p>
    <w:p>
      <w:pPr>
        <w:pStyle w:val="ListBullet"/>
        <w:jc w:val="left"/>
      </w:pPr>
      <w:r>
        <w:t>first install;</w:t>
      </w:r>
    </w:p>
    <w:p>
      <w:pPr>
        <w:pStyle w:val="ListBullet"/>
        <w:jc w:val="left"/>
      </w:pPr>
      <w:r>
        <w:t>setup interruption;</w:t>
      </w:r>
    </w:p>
    <w:p>
      <w:pPr>
        <w:pStyle w:val="ListBullet"/>
        <w:jc w:val="left"/>
      </w:pPr>
      <w:r>
        <w:t>PIN creation and replacement;</w:t>
      </w:r>
    </w:p>
    <w:p>
      <w:pPr>
        <w:pStyle w:val="ListBullet"/>
        <w:jc w:val="left"/>
      </w:pPr>
      <w:r>
        <w:t>failed attempts and lockout;</w:t>
      </w:r>
    </w:p>
    <w:p>
      <w:pPr>
        <w:pStyle w:val="ListBullet"/>
        <w:jc w:val="left"/>
      </w:pPr>
      <w:r>
        <w:t>protected-app add and remove;</w:t>
      </w:r>
    </w:p>
    <w:p>
      <w:pPr>
        <w:pStyle w:val="ListBullet"/>
        <w:jc w:val="left"/>
      </w:pPr>
      <w:r>
        <w:t>package update, uninstall, and reinstall;</w:t>
      </w:r>
    </w:p>
    <w:p>
      <w:pPr>
        <w:pStyle w:val="ListBullet"/>
        <w:jc w:val="left"/>
      </w:pPr>
      <w:r>
        <w:t>process death;</w:t>
      </w:r>
    </w:p>
    <w:p>
      <w:pPr>
        <w:pStyle w:val="ListBullet"/>
        <w:jc w:val="left"/>
      </w:pPr>
      <w:r>
        <w:t>screen-off;</w:t>
      </w:r>
    </w:p>
    <w:p>
      <w:pPr>
        <w:pStyle w:val="ListBullet"/>
        <w:jc w:val="left"/>
      </w:pPr>
      <w:r>
        <w:t>reboot;</w:t>
      </w:r>
    </w:p>
    <w:p>
      <w:pPr>
        <w:pStyle w:val="ListBullet"/>
        <w:jc w:val="left"/>
      </w:pPr>
      <w:r>
        <w:t>force-stop followed by user relaunch;</w:t>
      </w:r>
    </w:p>
    <w:p>
      <w:pPr>
        <w:pStyle w:val="ListBullet"/>
        <w:jc w:val="left"/>
      </w:pPr>
      <w:r>
        <w:t>application-data clear;</w:t>
      </w:r>
    </w:p>
    <w:p>
      <w:pPr>
        <w:pStyle w:val="ListBullet"/>
        <w:jc w:val="left"/>
      </w:pPr>
      <w:r>
        <w:t>App Lock uninstall and reinstall;</w:t>
      </w:r>
    </w:p>
    <w:p>
      <w:pPr>
        <w:pStyle w:val="ListBullet"/>
        <w:jc w:val="left"/>
      </w:pPr>
      <w:r>
        <w:t>Keystore invalidation;</w:t>
      </w:r>
    </w:p>
    <w:p>
      <w:pPr>
        <w:pStyle w:val="ListBullet"/>
        <w:jc w:val="left"/>
      </w:pPr>
      <w:r>
        <w:t>storage exhaustion; and</w:t>
      </w:r>
    </w:p>
    <w:p>
      <w:pPr>
        <w:pStyle w:val="ListBullet"/>
        <w:jc w:val="left"/>
      </w:pPr>
      <w:r>
        <w:t>database corruption.</w:t>
      </w:r>
    </w:p>
    <w:p>
      <w:pPr>
        <w:pStyle w:val="Heading2"/>
        <w:jc w:val="left"/>
      </w:pPr>
      <w:r>
        <w:t>20.6 Privacy verification</w:t>
      </w:r>
    </w:p>
    <w:p>
      <w:pPr>
        <w:jc w:val="left"/>
      </w:pPr>
      <w:r>
        <w:t>Storage and diagnostic inspection confirm that:</w:t>
      </w:r>
    </w:p>
    <w:p>
      <w:pPr>
        <w:pStyle w:val="ListBullet"/>
        <w:jc w:val="left"/>
      </w:pPr>
      <w:r>
        <w:t>no Usage Access history is persisted;</w:t>
      </w:r>
    </w:p>
    <w:p>
      <w:pPr>
        <w:pStyle w:val="ListBullet"/>
        <w:jc w:val="left"/>
      </w:pPr>
      <w:r>
        <w:t>no protected package name or identifier appears in notifications or ordinary logs;</w:t>
      </w:r>
    </w:p>
    <w:p>
      <w:pPr>
        <w:pStyle w:val="ListBullet"/>
        <w:jc w:val="left"/>
      </w:pPr>
      <w:r>
        <w:t>no biometric detail beyond the permitted preference is stored;</w:t>
      </w:r>
    </w:p>
    <w:p>
      <w:pPr>
        <w:pStyle w:val="ListBullet"/>
        <w:jc w:val="left"/>
      </w:pPr>
      <w:r>
        <w:t>no session, current foreground identity, or active lock request is persisted;</w:t>
      </w:r>
    </w:p>
    <w:p>
      <w:pPr>
        <w:pStyle w:val="ListBullet"/>
        <w:jc w:val="left"/>
      </w:pPr>
      <w:r>
        <w:t>no unsupported event, diagnostic, metric, media, backup, or export store is written; and</w:t>
      </w:r>
    </w:p>
    <w:p>
      <w:pPr>
        <w:pStyle w:val="ListBullet"/>
        <w:jc w:val="left"/>
      </w:pPr>
      <w:r>
        <w:t>the application declares and uses no Accessibility service.</w:t>
      </w:r>
    </w:p>
    <w:p>
      <w:pPr>
        <w:pStyle w:val="Heading2"/>
        <w:jc w:val="left"/>
      </w:pPr>
      <w:r>
        <w:t>20.7 Supported-phone verification</w:t>
      </w:r>
    </w:p>
    <w:p>
      <w:pPr>
        <w:jc w:val="left"/>
      </w:pPr>
      <w:r>
        <w:t>Storage creation, encrypted opening, protected preferences, migration, backup exclusion, reset, and Keystore-loss behavior are exercised across Android API levels 30–35 using available emulators and at least one physical Android phone for the security-critical path.</w:t>
      </w:r>
    </w:p>
    <w:p>
      <w:pPr>
        <w:jc w:val="left"/>
      </w:pPr>
      <w:r>
        <w:t>Behavior on tablets, foldables, Chromebooks, earlier APIs, work profiles, secondary users, and cloned applications does not expand the supported database contract.</w:t>
      </w:r>
    </w:p>
    <w:p>
      <w:pPr>
        <w:pStyle w:val="Heading2"/>
        <w:jc w:val="left"/>
      </w:pPr>
      <w:r>
        <w:t>20.8 Design rationale</w:t>
      </w:r>
    </w:p>
    <w:p>
      <w:pPr>
        <w:jc w:val="left"/>
      </w:pPr>
      <w:r>
        <w:t>The version 1.0.0 storage design is intentionally smaller than a general security suite. It keeps secrets in Keystore-backed protected storage, structured protected selections in one encrypted database, ordinary preferences in private settings, and authorization state in memory.</w:t>
      </w:r>
    </w:p>
    <w:p>
      <w:pPr>
        <w:jc w:val="left"/>
      </w:pPr>
      <w:r>
        <w:t>This division minimizes code, migrations, permissions, retention rules, and recovery paths while preserving the information required for a credible App Lock. Removing vault, backup, automation, event history, exports, and analytics eliminates entire data domains rather than leaving them as inactive obligations.</w:t>
      </w:r>
    </w:p>
    <w:p>
      <w:pPr>
        <w:pStyle w:val="Heading2"/>
        <w:jc w:val="left"/>
      </w:pPr>
      <w:r>
        <w:t>20.9 Completion statement</w:t>
      </w:r>
    </w:p>
    <w:p>
      <w:pPr>
        <w:jc w:val="left"/>
      </w:pPr>
      <w:r>
        <w:t>This database design is complete when every persisted value belongs to the included version 1.0.0 behavior, every security-relevant write is atomic, every supported migration is verified, all application data is excluded from Android backup, failures remain visible, and memory-only authorization cannot reappear after process death or reboot.</w:t>
      </w:r>
    </w:p>
    <w:p>
      <w:pPr>
        <w:jc w:val="left"/>
      </w:pPr>
      <w:r>
        <w:t>Capabilities listed in Section 1.3 remain outside this specification and require no schema, storage, migration, lifecycle, or verification work for version 1.0.0.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Design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