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7. Logical Relationships</w:t>
      </w:r>
    </w:p>
    <w:p>
      <w:pPr>
        <w:pStyle w:val="Heading2"/>
        <w:jc w:val="left"/>
      </w:pPr>
      <w:r>
        <w:t>7.1 Relationship model</w:t>
      </w:r>
    </w:p>
    <w:p>
      <w:pPr>
        <w:jc w:val="left"/>
      </w:pPr>
      <w:r>
        <w:t>The supported relational model has no parent-child relationship and no cross-domain foreign key.</w:t>
      </w:r>
    </w:p>
    <w:p>
      <w:pPr>
        <w:jc w:val="left"/>
      </w:pPr>
      <w:r>
        <w:t>Each protected application record is independent and uniquely identified by its package identifier. Settings and protected authentication records are stored outside the relational database and do not reference a protected application row.</w:t>
      </w:r>
    </w:p>
    <w:p>
      <w:pPr>
        <w:pStyle w:val="Heading2"/>
        <w:jc w:val="left"/>
      </w:pPr>
      <w:r>
        <w:t>7.2 Runtime association</w:t>
      </w:r>
    </w:p>
    <w:p>
      <w:pPr>
        <w:jc w:val="left"/>
      </w:pPr>
      <w:r>
        <w:t>At runtime, protection associates:</w:t>
      </w:r>
    </w:p>
    <w:p>
      <w:pPr>
        <w:pStyle w:val="ListBullet"/>
        <w:jc w:val="left"/>
      </w:pPr>
      <w:r>
        <w:t>a foreground package identifier reported through Usage Access;</w:t>
      </w:r>
    </w:p>
    <w:p>
      <w:pPr>
        <w:pStyle w:val="ListBullet"/>
        <w:jc w:val="left"/>
      </w:pPr>
      <w:r>
        <w:t>membership in the in-memory protected set loaded from the encrypted database; and</w:t>
      </w:r>
    </w:p>
    <w:p>
      <w:pPr>
        <w:pStyle w:val="ListBullet"/>
        <w:jc w:val="left"/>
      </w:pPr>
      <w:r>
        <w:t>an optional package-scoped session held in memory.</w:t>
      </w:r>
    </w:p>
    <w:p>
      <w:pPr>
        <w:jc w:val="left"/>
      </w:pPr>
      <w:r>
        <w:t>This association is calculated and is not persisted as a relationship.</w:t>
      </w:r>
    </w:p>
    <w:p>
      <w:pPr>
        <w:pStyle w:val="Heading2"/>
        <w:jc w:val="left"/>
      </w:pPr>
      <w:r>
        <w:t>7.3 Package metadata</w:t>
      </w:r>
    </w:p>
    <w:p>
      <w:pPr>
        <w:jc w:val="left"/>
      </w:pPr>
      <w:r>
        <w:t>The display label and icon are joined in memory from Android package information using the package identifier. They are not a relational entity and do not create a referential requirement.</w:t>
      </w:r>
    </w:p>
    <w:p>
      <w:pPr>
        <w:pStyle w:val="Heading2"/>
        <w:jc w:val="left"/>
      </w:pPr>
      <w:r>
        <w:t>7.4 Consequences of the reduced model</w:t>
      </w:r>
    </w:p>
    <w:p>
      <w:pPr>
        <w:jc w:val="left"/>
      </w:pPr>
      <w:r>
        <w:t>The logical design requires no:</w:t>
      </w:r>
    </w:p>
    <w:p>
      <w:pPr>
        <w:pStyle w:val="ListBullet"/>
        <w:jc w:val="left"/>
      </w:pPr>
      <w:r>
        <w:t>application-group membership;</w:t>
      </w:r>
    </w:p>
    <w:p>
      <w:pPr>
        <w:pStyle w:val="ListBullet"/>
        <w:jc w:val="left"/>
      </w:pPr>
      <w:r>
        <w:t>schedule or rule references;</w:t>
      </w:r>
    </w:p>
    <w:p>
      <w:pPr>
        <w:pStyle w:val="ListBullet"/>
        <w:jc w:val="left"/>
      </w:pPr>
      <w:r>
        <w:t>profile ownership;</w:t>
      </w:r>
    </w:p>
    <w:p>
      <w:pPr>
        <w:pStyle w:val="ListBullet"/>
        <w:jc w:val="left"/>
      </w:pPr>
      <w:r>
        <w:t>event-to-package relationship;</w:t>
      </w:r>
    </w:p>
    <w:p>
      <w:pPr>
        <w:pStyle w:val="ListBullet"/>
        <w:jc w:val="left"/>
      </w:pPr>
      <w:r>
        <w:t>notification-to-event relationship;</w:t>
      </w:r>
    </w:p>
    <w:p>
      <w:pPr>
        <w:pStyle w:val="ListBullet"/>
        <w:jc w:val="left"/>
      </w:pPr>
      <w:r>
        <w:t>vault parent-child relationship;</w:t>
      </w:r>
    </w:p>
    <w:p>
      <w:pPr>
        <w:pStyle w:val="ListBullet"/>
        <w:jc w:val="left"/>
      </w:pPr>
      <w:r>
        <w:t>session foreign key; or</w:t>
      </w:r>
    </w:p>
    <w:p>
      <w:pPr>
        <w:pStyle w:val="ListBullet"/>
        <w:jc w:val="left"/>
      </w:pPr>
      <w:r>
        <w:t>generic ownership and archive model.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