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Non-Functional Requirements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Appendix A - Non-Functional Requirement Disposition</w:t>
      </w:r>
    </w:p>
    <w:p>
      <w:pPr>
        <w:jc w:val="left"/>
      </w:pPr>
      <w:r>
        <w:t>The following existing identifiers are not normative version 1.0.0 obligations. They remain reserved and are not renumbered or reused.</w:t>
      </w:r>
    </w:p>
    <w:p>
      <w:pPr>
        <w:pStyle w:val="Heading2"/>
        <w:jc w:val="left"/>
      </w:pPr>
      <w:r>
        <w:t>A.1 Performance and Reliability</w:t>
      </w:r>
    </w:p>
    <w:p>
      <w:pPr>
        <w:pStyle w:val="ListBullet"/>
        <w:jc w:val="left"/>
      </w:pPr>
      <w:r>
        <w:t>NFR-PERF-007 - Secure Vault Loading Performance.</w:t>
      </w:r>
    </w:p>
    <w:p>
      <w:pPr>
        <w:pStyle w:val="ListBullet"/>
        <w:jc w:val="left"/>
      </w:pPr>
      <w:r>
        <w:t>NFR-REL-002 - 1,000-hour MTBF acceptance target.</w:t>
      </w:r>
    </w:p>
    <w:p>
      <w:pPr>
        <w:pStyle w:val="ListBullet"/>
        <w:jc w:val="left"/>
      </w:pPr>
      <w:r>
        <w:t>NFR-REL-004 - production-population crash-free session metric.</w:t>
      </w:r>
    </w:p>
    <w:p>
      <w:pPr>
        <w:pStyle w:val="ListBullet"/>
        <w:jc w:val="left"/>
      </w:pPr>
      <w:r>
        <w:t>NFR-REL-008 - separate seven-day endurance campaign.</w:t>
      </w:r>
    </w:p>
    <w:p>
      <w:pPr>
        <w:pStyle w:val="Heading2"/>
        <w:jc w:val="left"/>
      </w:pPr>
      <w:r>
        <w:t>A.2 Security and Maintainability Programs</w:t>
      </w:r>
    </w:p>
    <w:p>
      <w:pPr>
        <w:pStyle w:val="ListBullet"/>
        <w:jc w:val="left"/>
      </w:pPr>
      <w:r>
        <w:t>NFR-SEC-012 and NFR-SEC-013 - separate static and dynamic security-assessment obligations; retained critical security behavior is verified through the focused automated, integration, and regression requirements.</w:t>
      </w:r>
    </w:p>
    <w:p>
      <w:pPr>
        <w:pStyle w:val="ListBullet"/>
        <w:jc w:val="left"/>
      </w:pPr>
      <w:r>
        <w:t>NFR-SEC-018 - separate independent security assessment.</w:t>
      </w:r>
    </w:p>
    <w:p>
      <w:pPr>
        <w:pStyle w:val="ListBullet"/>
        <w:jc w:val="left"/>
      </w:pPr>
      <w:r>
        <w:t>NFR-SEC-019 and NFR-SEC-020 - continuing security metrics and annual improvement programs.</w:t>
      </w:r>
    </w:p>
    <w:p>
      <w:pPr>
        <w:pStyle w:val="ListBullet"/>
        <w:jc w:val="left"/>
      </w:pPr>
      <w:r>
        <w:t>NFR-MNT-008 - technical-debt administration.</w:t>
      </w:r>
    </w:p>
    <w:p>
      <w:pPr>
        <w:pStyle w:val="ListBullet"/>
        <w:jc w:val="left"/>
      </w:pPr>
      <w:r>
        <w:t>NFR-MNT-013, NFR-MNT-014, and NFR-MNT-015 - organizational knowledge-transfer, periodic assessment, and annual improvement programs.</w:t>
      </w:r>
    </w:p>
    <w:p>
      <w:pPr>
        <w:pStyle w:val="Heading2"/>
        <w:jc w:val="left"/>
      </w:pPr>
      <w:r>
        <w:t>A.3 Testing and Observability Programs</w:t>
      </w:r>
    </w:p>
    <w:p>
      <w:pPr>
        <w:pStyle w:val="ListBullet"/>
        <w:jc w:val="left"/>
      </w:pPr>
      <w:r>
        <w:t>NFR-TEST-012 - annual testing-process improvement program.</w:t>
      </w:r>
    </w:p>
    <w:p>
      <w:pPr>
        <w:pStyle w:val="ListBullet"/>
        <w:jc w:val="left"/>
      </w:pPr>
      <w:r>
        <w:t>NFR-OBS-011 and NFR-OBS-012 - operational trend analysis and continuing observability program.</w:t>
      </w:r>
    </w:p>
    <w:p>
      <w:pPr>
        <w:pStyle w:val="Heading2"/>
        <w:jc w:val="left"/>
      </w:pPr>
      <w:r>
        <w:t>A.4 Usability and Compatibility Programs</w:t>
      </w:r>
    </w:p>
    <w:p>
      <w:pPr>
        <w:pStyle w:val="ListBullet"/>
        <w:jc w:val="left"/>
      </w:pPr>
      <w:r>
        <w:t>NFR-UX-013 - formal user-satisfaction assessment program.</w:t>
      </w:r>
    </w:p>
    <w:p>
      <w:pPr>
        <w:pStyle w:val="ListBullet"/>
        <w:jc w:val="left"/>
      </w:pPr>
      <w:r>
        <w:t>NFR-UX-015 - annual usability-improvement program.</w:t>
      </w:r>
    </w:p>
    <w:p>
      <w:pPr>
        <w:pStyle w:val="ListBullet"/>
        <w:jc w:val="left"/>
      </w:pPr>
      <w:r>
        <w:t>NFR-COMP-012 - annual compatibility-improvement program.</w:t>
      </w:r>
    </w:p>
    <w:p>
      <w:pPr>
        <w:pStyle w:val="Heading2"/>
        <w:jc w:val="left"/>
      </w:pPr>
      <w:r>
        <w:t>A.5 Compliance and Operational Administration</w:t>
      </w:r>
    </w:p>
    <w:p>
      <w:pPr>
        <w:pStyle w:val="ListBullet"/>
        <w:jc w:val="left"/>
      </w:pPr>
      <w:r>
        <w:t>NFR-COMPY-008 - general process-compliance administration.</w:t>
      </w:r>
    </w:p>
    <w:p>
      <w:pPr>
        <w:pStyle w:val="ListBullet"/>
        <w:jc w:val="left"/>
      </w:pPr>
      <w:r>
        <w:t>NFR-COMPY-010 - annual compliance-review program; applicable release compliance remains normative under NFR-COMPY-001, NFR-COMPY-002, and NFR-COMPY-005.</w:t>
      </w:r>
    </w:p>
    <w:p>
      <w:pPr>
        <w:pStyle w:val="ListBullet"/>
        <w:jc w:val="left"/>
      </w:pPr>
      <w:r>
        <w:t>NFR-OPS-007 - organizational incident-response program.</w:t>
      </w:r>
    </w:p>
    <w:p>
      <w:pPr>
        <w:pStyle w:val="ListBullet"/>
        <w:jc w:val="left"/>
      </w:pPr>
      <w:r>
        <w:t>NFR-OPS-003 - separate independent build-reproduction obligation; the distributed artifact remains controlled and verifiable under NFR-SEC-016 and NFR-MNT-011.</w:t>
      </w:r>
    </w:p>
    <w:p>
      <w:pPr>
        <w:pStyle w:val="ListBullet"/>
        <w:jc w:val="left"/>
      </w:pPr>
      <w:r>
        <w:t>NFR-OPS-010, NFR-OPS-011, and NFR-OPS-012 - maintenance-window, change-management, and recurring metrics-review administration.</w:t>
      </w:r>
    </w:p>
    <w:p>
      <w:pPr>
        <w:pStyle w:val="ListBullet"/>
        <w:jc w:val="left"/>
      </w:pPr>
      <w:r>
        <w:t>NFR-OPS-014 and NFR-OPS-015 - organizational lifecycle and continuing operational-improvement programs.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