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Appendix B - Cross-Document Quality Invariants</w:t>
      </w:r>
    </w:p>
    <w:p>
      <w:pPr>
        <w:jc w:val="left"/>
      </w:pPr>
      <w:r>
        <w:t>The complete version 1.0.0 document set shall preserve these invariants:</w:t>
      </w:r>
    </w:p>
    <w:p>
      <w:pPr>
        <w:pStyle w:val="ListNumber"/>
        <w:jc w:val="left"/>
      </w:pPr>
      <w:r>
        <w:t>PIN is mandatory; eligible biometrics are optional and always fall back to PIN.</w:t>
      </w:r>
    </w:p>
    <w:p>
      <w:pPr>
        <w:pStyle w:val="ListNumber"/>
        <w:jc w:val="left"/>
      </w:pPr>
      <w:r>
        <w:t>Usage Access is the single application-detection baseline; an App Lock Accessibility service is absent.</w:t>
      </w:r>
    </w:p>
    <w:p>
      <w:pPr>
        <w:pStyle w:val="ListNumber"/>
        <w:jc w:val="left"/>
      </w:pPr>
      <w:r>
        <w:t>Each protected application has its own volatile authorization session, governed by one global relock policy.</w:t>
      </w:r>
    </w:p>
    <w:p>
      <w:pPr>
        <w:pStyle w:val="ListNumber"/>
        <w:jc w:val="left"/>
      </w:pPr>
      <w:r>
        <w:t>A failed required capability cannot be shown as protected.</w:t>
      </w:r>
    </w:p>
    <w:p>
      <w:pPr>
        <w:pStyle w:val="ListNumber"/>
        <w:jc w:val="left"/>
      </w:pPr>
      <w:r>
        <w:t>Forgotten PIN provides destructive reset only and preserves no local configuration.</w:t>
      </w:r>
    </w:p>
    <w:p>
      <w:pPr>
        <w:pStyle w:val="ListNumber"/>
        <w:jc w:val="left"/>
      </w:pPr>
      <w:r>
        <w:t>App Lock emits only its own essential masked notifications and does not access protected-application notifications.</w:t>
      </w:r>
    </w:p>
    <w:p>
      <w:pPr>
        <w:pStyle w:val="ListNumber"/>
        <w:jc w:val="left"/>
      </w:pPr>
      <w:r>
        <w:t>All retained user and security data remains local, and no routine application network traffic is produced.</w:t>
      </w:r>
    </w:p>
    <w:p>
      <w:pPr>
        <w:pStyle w:val="ListNumber"/>
        <w:jc w:val="left"/>
      </w:pPr>
      <w:r>
        <w:t>Diagnostics are current, local, privacy safe, bounded, and not exportable.</w:t>
      </w:r>
    </w:p>
    <w:p>
      <w:pPr>
        <w:pStyle w:val="ListNumber"/>
        <w:jc w:val="left"/>
      </w:pPr>
      <w:r>
        <w:t>Compatibility is limited to conventional phones on API levels 30 through 35 and the declared evidence set.</w:t>
      </w:r>
    </w:p>
    <w:p>
      <w:pPr>
        <w:pStyle w:val="ListNumber"/>
        <w:jc w:val="left"/>
      </w:pPr>
      <w:r>
        <w:t>A single polished accessible phone visual system that follows system light and dark appearance is required; a theme selector, custom themes, and large-screen layouts are not.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