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2. Measurement Context</w:t>
      </w:r>
    </w:p>
    <w:p>
      <w:pPr>
        <w:jc w:val="left"/>
      </w:pPr>
      <w:r>
        <w:t>Measurements shall use distributed-build settings and a declared test set consisting of API 30 through 35 phone emulators and the available conventional physical Android phones. A result from that set must not be described as universal manufacturer coverage.</w:t>
      </w:r>
    </w:p>
    <w:p>
      <w:pPr>
        <w:jc w:val="left"/>
      </w:pPr>
      <w:r>
        <w:t>Where a target depends on hardware, the evidence shall identify the reference phone, Android version, relevant operating conditions, dataset size, and measurement boundary. Security controls must not be weakened to satisfy a performance or resource target.</w:t>
      </w:r>
    </w:p>
    <w:p>
      <w:pPr>
        <w:jc w:val="left"/>
      </w:pPr>
      <w:r>
        <w:t>Requirement identifiers remain unchanged from the source quality specification. Gaps are intentional. An identifier omitted from the normative sections remains reserved and may not be renumbered or reused.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