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left"/>
        <w:pBdr>
          <w:bottom w:val="single" w:sz="8" w:space="8" w:color="A6A6A6"/>
        </w:pBdr>
      </w:pPr>
      <w:r>
        <w:t>Non-Functional Requirements</w:t>
      </w:r>
    </w:p>
    <w:p>
      <w:pPr>
        <w:pStyle w:val="Heading1"/>
        <w:jc w:val="left"/>
      </w:pPr>
      <w:r>
        <w:t>Version 1.0.0</w:t>
      </w:r>
    </w:p>
    <w:p>
      <w:pPr>
        <w:pStyle w:val="Heading1"/>
        <w:jc w:val="left"/>
      </w:pPr>
      <w:r>
        <w:t>4. Reliability</w:t>
      </w:r>
    </w:p>
    <w:p>
      <w:pPr>
        <w:pStyle w:val="Heading2"/>
        <w:jc w:val="left"/>
      </w:pPr>
      <w:r>
        <w:t>NFR-REL-001 - Operational Stability</w:t>
      </w:r>
    </w:p>
    <w:p>
      <w:pPr>
        <w:jc w:val="left"/>
      </w:pPr>
      <w:r>
        <w:t>The application shall maintain its retained core functions during a continuous eight-hour reliability test without unrecoverable failure.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Usage Access monitoring, protection presentation, PIN authentication, global relock, and health reporting remain operational.</w:t>
      </w:r>
    </w:p>
    <w:p>
      <w:pPr>
        <w:pStyle w:val="ListBullet"/>
        <w:jc w:val="left"/>
      </w:pPr>
      <w:r>
        <w:t>No committed credential, protected-application selection, or setting is corrupted.</w:t>
      </w:r>
    </w:p>
    <w:p>
      <w:pPr>
        <w:pStyle w:val="ListBullet"/>
        <w:jc w:val="left"/>
      </w:pPr>
      <w:r>
        <w:t>Any recoverable failure returns to a verified defined state.</w:t>
      </w:r>
    </w:p>
    <w:p>
      <w:pPr>
        <w:jc w:val="left"/>
      </w:pPr>
      <w:r>
        <w:t>Verification: Endurance test.</w:t>
      </w:r>
    </w:p>
    <w:p>
      <w:pPr>
        <w:pStyle w:val="Heading2"/>
        <w:jc w:val="left"/>
      </w:pPr>
      <w:r>
        <w:t>NFR-REL-003 - Mean Time to Recovery</w:t>
      </w:r>
    </w:p>
    <w:p>
      <w:pPr>
        <w:jc w:val="left"/>
      </w:pPr>
      <w:r>
        <w:t>Automatically recoverable core failures shall recover within 30 seconds after Android permits the required work.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The measured recovery does not require a device reboot under normal recoverable conditions.</w:t>
      </w:r>
    </w:p>
    <w:p>
      <w:pPr>
        <w:pStyle w:val="ListBullet"/>
        <w:jc w:val="left"/>
      </w:pPr>
      <w:r>
        <w:t>Recovery includes a successful protection-health verification.</w:t>
      </w:r>
    </w:p>
    <w:p>
      <w:pPr>
        <w:pStyle w:val="ListBullet"/>
        <w:jc w:val="left"/>
      </w:pPr>
      <w:r>
        <w:t>Failed recovery changes to an Action required state within the same period.</w:t>
      </w:r>
    </w:p>
    <w:p>
      <w:pPr>
        <w:jc w:val="left"/>
      </w:pPr>
      <w:r>
        <w:t>Verification: Fault-injection test and measurement.</w:t>
      </w:r>
    </w:p>
    <w:p>
      <w:pPr>
        <w:pStyle w:val="Heading2"/>
        <w:jc w:val="left"/>
      </w:pPr>
      <w:r>
        <w:t>NFR-REL-005 - Data Integrity</w:t>
      </w:r>
    </w:p>
    <w:p>
      <w:pPr>
        <w:jc w:val="left"/>
      </w:pPr>
      <w:r>
        <w:t>Unexpected failure shall not corrupt committed version 1.0.0 local data.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Simulated interruptions preserve 100 percent of committed credential, settings, and protected-application records.</w:t>
      </w:r>
    </w:p>
    <w:p>
      <w:pPr>
        <w:pStyle w:val="ListBullet"/>
        <w:jc w:val="left"/>
      </w:pPr>
      <w:r>
        <w:t>Integrity checks identify no unrecoverable inconsistency after supported recovery cases.</w:t>
      </w:r>
    </w:p>
    <w:p>
      <w:pPr>
        <w:pStyle w:val="ListBullet"/>
        <w:jc w:val="left"/>
      </w:pPr>
      <w:r>
        <w:t>Deferred Vault and backup data are not part of the test set.</w:t>
      </w:r>
    </w:p>
    <w:p>
      <w:pPr>
        <w:jc w:val="left"/>
      </w:pPr>
      <w:r>
        <w:t>Verification: Fault-injection test and inspection.</w:t>
      </w:r>
    </w:p>
    <w:p>
      <w:pPr>
        <w:pStyle w:val="Heading2"/>
        <w:jc w:val="left"/>
      </w:pPr>
      <w:r>
        <w:t>NFR-REL-006 - Transaction Consistency</w:t>
      </w:r>
    </w:p>
    <w:p>
      <w:pPr>
        <w:jc w:val="left"/>
      </w:pPr>
      <w:r>
        <w:t>Every retained local data modification shall complete in a consistent state.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No partially committed PIN change, protection selection, or settings change is observable after abnormal termination.</w:t>
      </w:r>
    </w:p>
    <w:p>
      <w:pPr>
        <w:pStyle w:val="ListBullet"/>
        <w:jc w:val="left"/>
      </w:pPr>
      <w:r>
        <w:t>Database integrity validation succeeds after recovery or the application remains fail-secure.</w:t>
      </w:r>
    </w:p>
    <w:p>
      <w:pPr>
        <w:jc w:val="left"/>
      </w:pPr>
      <w:r>
        <w:t>Verification: Fault-injection and integration test.</w:t>
      </w:r>
    </w:p>
    <w:p>
      <w:pPr>
        <w:pStyle w:val="Heading2"/>
        <w:jc w:val="left"/>
      </w:pPr>
      <w:r>
        <w:t>NFR-REL-007 - State Consistency</w:t>
      </w:r>
    </w:p>
    <w:p>
      <w:pPr>
        <w:jc w:val="left"/>
      </w:pPr>
      <w:r>
        <w:t>The application shall preserve a valid state across process termination, phone rotation, supported configuration change, screen off, device restart, and in-place update.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No undefined protection, authentication, or migration state is shown.</w:t>
      </w:r>
    </w:p>
    <w:p>
      <w:pPr>
        <w:pStyle w:val="ListBullet"/>
        <w:jc w:val="left"/>
      </w:pPr>
      <w:r>
        <w:t>Authentication sessions follow the mandatory invalidation rules.</w:t>
      </w:r>
    </w:p>
    <w:p>
      <w:pPr>
        <w:pStyle w:val="ListBullet"/>
        <w:jc w:val="left"/>
      </w:pPr>
      <w:r>
        <w:t>Display changes do not duplicate actions or bypass confirmation.</w:t>
      </w:r>
    </w:p>
    <w:p>
      <w:pPr>
        <w:jc w:val="left"/>
      </w:pPr>
      <w:r>
        <w:t>Verification: State-transition test.</w:t>
      </w:r>
    </w:p>
    <w:p>
      <w:pPr>
        <w:pStyle w:val="Heading2"/>
        <w:jc w:val="left"/>
      </w:pPr>
      <w:r>
        <w:t>NFR-REL-009 - Fault Isolation</w:t>
      </w:r>
    </w:p>
    <w:p>
      <w:pPr>
        <w:jc w:val="left"/>
      </w:pPr>
      <w:r>
        <w:t>A failure in a noncritical retained function shall not unnecessarily disable the independent PIN-based protection path.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Optional biometric, help, cache cleanup, or bounded diagnostics failure does not prevent PIN authentication where the core path remains valid.</w:t>
      </w:r>
    </w:p>
    <w:p>
      <w:pPr>
        <w:pStyle w:val="ListBullet"/>
        <w:jc w:val="left"/>
      </w:pPr>
      <w:r>
        <w:t>Failure of a required detection or presentation capability is contained and reported truthfully.</w:t>
      </w:r>
    </w:p>
    <w:p>
      <w:pPr>
        <w:jc w:val="left"/>
      </w:pPr>
      <w:r>
        <w:t>Verification: Fault-injection test.</w:t>
      </w:r>
    </w:p>
    <w:p>
      <w:pPr>
        <w:pStyle w:val="Heading2"/>
        <w:jc w:val="left"/>
      </w:pPr>
      <w:r>
        <w:t>NFR-REL-010 - Consistent Functional Behavior</w:t>
      </w:r>
    </w:p>
    <w:p>
      <w:pPr>
        <w:jc w:val="left"/>
      </w:pPr>
      <w:r>
        <w:t>Equivalent input and state shall produce the same protection, authentication, and recovery result.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Repeated state-transition tests produce deterministic outcomes.</w:t>
      </w:r>
    </w:p>
    <w:p>
      <w:pPr>
        <w:pStyle w:val="ListBullet"/>
        <w:jc w:val="left"/>
      </w:pPr>
      <w:r>
        <w:t>No unexplained difference occurs across equivalent API-level test cases.</w:t>
      </w:r>
    </w:p>
    <w:p>
      <w:pPr>
        <w:jc w:val="left"/>
      </w:pPr>
      <w:r>
        <w:t>Verification: Repeated automated test.</w:t>
      </w:r>
    </w:p>
    <w:p>
      <w:pPr>
        <w:pStyle w:val="Heading2"/>
        <w:jc w:val="left"/>
      </w:pPr>
      <w:r>
        <w:t>NFR-REL-011 - Reliability Regression Control</w:t>
      </w:r>
    </w:p>
    <w:p>
      <w:pPr>
        <w:jc w:val="left"/>
      </w:pPr>
      <w:r>
        <w:t>Each compatible release shall preserve or improve the reliability baseline for retained critical behavior.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Core crash, recovery, data-integrity, and protection-state results are compared with the approved baseline.</w:t>
      </w:r>
    </w:p>
    <w:p>
      <w:pPr>
        <w:pStyle w:val="ListBullet"/>
        <w:jc w:val="left"/>
      </w:pPr>
      <w:r>
        <w:t>A regression affecting unauthorized access or committed data is not accepted for distribution.</w:t>
      </w:r>
    </w:p>
    <w:p>
      <w:pPr>
        <w:jc w:val="left"/>
      </w:pPr>
      <w:r>
        <w:t>Verification: Regression test and comparison.</w:t>
      </w:r>
    </w:p>
    <w:p>
      <w:pPr>
        <w:pStyle w:val="Heading2"/>
        <w:jc w:val="left"/>
      </w:pPr>
      <w:r>
        <w:t>NFR-REL-012 - Reliability Validation</w:t>
      </w:r>
    </w:p>
    <w:p>
      <w:pPr>
        <w:jc w:val="left"/>
      </w:pPr>
      <w:r>
        <w:t>Reliability evidence shall cover the complete reduced release boundary.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Tests include reboot, process termination, permission loss, rapid relaunch, task switching, screen off, low storage, interrupted write, failed migration, and optional biometric loss.</w:t>
      </w:r>
    </w:p>
    <w:p>
      <w:pPr>
        <w:pStyle w:val="ListBullet"/>
        <w:jc w:val="left"/>
      </w:pPr>
      <w:r>
        <w:t>Coverage is limited to API 30 through 35 phones and retained capability.</w:t>
      </w:r>
    </w:p>
    <w:p>
      <w:pPr>
        <w:pStyle w:val="ListBullet"/>
        <w:jc w:val="left"/>
      </w:pPr>
      <w:r>
        <w:t>Results identify recovery time and final protection state.</w:t>
      </w:r>
    </w:p>
    <w:p>
      <w:pPr>
        <w:jc w:val="left"/>
      </w:pPr>
      <w:r>
        <w:t>Verification: Test and inspection.</w:t>
      </w:r>
    </w:p>
    <w:sectPr w:rsidR="00EC6203">
      <w:headerReference w:type="default" r:id="rId7"/>
      <w:footerReference w:type="default" r:id="rId8"/>
      <w:pgSz w:w="12240" w:h="15840"/>
      <w:pgMar w:top="1152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068B"/>
    <w:multiLevelType w:val="multilevel"/>
    <w:tmpl w:val="6816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B4FEB"/>
    <w:multiLevelType w:val="multilevel"/>
    <w:tmpl w:val="79E2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34915"/>
    <w:multiLevelType w:val="multilevel"/>
    <w:tmpl w:val="D78E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F58D2"/>
    <w:multiLevelType w:val="multilevel"/>
    <w:tmpl w:val="67DC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6429C"/>
    <w:multiLevelType w:val="multilevel"/>
    <w:tmpl w:val="3D3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867BF"/>
    <w:multiLevelType w:val="multilevel"/>
    <w:tmpl w:val="A62A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42746D"/>
    <w:multiLevelType w:val="multilevel"/>
    <w:tmpl w:val="9316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2620F"/>
    <w:multiLevelType w:val="multilevel"/>
    <w:tmpl w:val="4D78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21003"/>
    <w:multiLevelType w:val="multilevel"/>
    <w:tmpl w:val="C84A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6136C"/>
    <w:multiLevelType w:val="multilevel"/>
    <w:tmpl w:val="7D2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20BBA"/>
    <w:multiLevelType w:val="multilevel"/>
    <w:tmpl w:val="2E1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86330"/>
    <w:multiLevelType w:val="multilevel"/>
    <w:tmpl w:val="F73A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05985"/>
    <w:multiLevelType w:val="multilevel"/>
    <w:tmpl w:val="F93A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C4569"/>
    <w:multiLevelType w:val="multilevel"/>
    <w:tmpl w:val="11D2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D625F"/>
    <w:multiLevelType w:val="multilevel"/>
    <w:tmpl w:val="4FC4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F78D3"/>
    <w:multiLevelType w:val="multilevel"/>
    <w:tmpl w:val="03D0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16EAC"/>
    <w:multiLevelType w:val="multilevel"/>
    <w:tmpl w:val="0AC4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F2706"/>
    <w:multiLevelType w:val="multilevel"/>
    <w:tmpl w:val="89F8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C3226"/>
    <w:multiLevelType w:val="multilevel"/>
    <w:tmpl w:val="49B8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D2555"/>
    <w:multiLevelType w:val="multilevel"/>
    <w:tmpl w:val="DD0A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82FEE"/>
    <w:multiLevelType w:val="multilevel"/>
    <w:tmpl w:val="F442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F3FF7"/>
    <w:multiLevelType w:val="multilevel"/>
    <w:tmpl w:val="448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243E54"/>
    <w:multiLevelType w:val="multilevel"/>
    <w:tmpl w:val="B87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023733">
    <w:abstractNumId w:val="0"/>
  </w:num>
  <w:num w:numId="2" w16cid:durableId="790516307">
    <w:abstractNumId w:val="12"/>
  </w:num>
  <w:num w:numId="3" w16cid:durableId="1231304425">
    <w:abstractNumId w:val="22"/>
  </w:num>
  <w:num w:numId="4" w16cid:durableId="355469300">
    <w:abstractNumId w:val="13"/>
  </w:num>
  <w:num w:numId="5" w16cid:durableId="580676043">
    <w:abstractNumId w:val="8"/>
  </w:num>
  <w:num w:numId="6" w16cid:durableId="940801734">
    <w:abstractNumId w:val="17"/>
  </w:num>
  <w:num w:numId="7" w16cid:durableId="1857815561">
    <w:abstractNumId w:val="16"/>
  </w:num>
  <w:num w:numId="8" w16cid:durableId="6907286">
    <w:abstractNumId w:val="20"/>
  </w:num>
  <w:num w:numId="9" w16cid:durableId="2109546238">
    <w:abstractNumId w:val="21"/>
  </w:num>
  <w:num w:numId="10" w16cid:durableId="375590146">
    <w:abstractNumId w:val="2"/>
  </w:num>
  <w:num w:numId="11" w16cid:durableId="1052116603">
    <w:abstractNumId w:val="4"/>
  </w:num>
  <w:num w:numId="12" w16cid:durableId="528221911">
    <w:abstractNumId w:val="9"/>
  </w:num>
  <w:num w:numId="13" w16cid:durableId="969629437">
    <w:abstractNumId w:val="3"/>
  </w:num>
  <w:num w:numId="14" w16cid:durableId="326982452">
    <w:abstractNumId w:val="11"/>
  </w:num>
  <w:num w:numId="15" w16cid:durableId="1932346757">
    <w:abstractNumId w:val="5"/>
  </w:num>
  <w:num w:numId="16" w16cid:durableId="1992175887">
    <w:abstractNumId w:val="15"/>
  </w:num>
  <w:num w:numId="17" w16cid:durableId="1670325939">
    <w:abstractNumId w:val="14"/>
  </w:num>
  <w:num w:numId="18" w16cid:durableId="81143482">
    <w:abstractNumId w:val="10"/>
  </w:num>
  <w:num w:numId="19" w16cid:durableId="1421877591">
    <w:abstractNumId w:val="18"/>
  </w:num>
  <w:num w:numId="20" w16cid:durableId="2112388767">
    <w:abstractNumId w:val="6"/>
  </w:num>
  <w:num w:numId="21" w16cid:durableId="1506433057">
    <w:abstractNumId w:val="19"/>
  </w:num>
  <w:num w:numId="22" w16cid:durableId="1327199273">
    <w:abstractNumId w:val="7"/>
  </w:num>
  <w:num w:numId="23" w16cid:durableId="537009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9A"/>
    <w:rsid w:val="00041D5F"/>
    <w:rsid w:val="00060A3B"/>
    <w:rsid w:val="002C7EAA"/>
    <w:rsid w:val="0058179A"/>
    <w:rsid w:val="00A8450B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305C"/>
  <w15:chartTrackingRefBased/>
  <w15:docId w15:val="{06DBA309-58D4-4946-B0B1-66A91B6EF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100" w:line="247" w:lineRule="auto"/>
    </w:pPr>
    <w:rPr>
      <w:rFonts w:ascii="Times New Roman" w:hAnsi="Times New Roman" w:eastAsia="Times New Roman"/>
      <w:b w:val="0"/>
      <w:i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179A"/>
    <w:pPr>
      <w:keepNext/>
      <w:keepLines/>
      <w:spacing w:before="240" w:after="100" w:line="247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9A"/>
    <w:pPr>
      <w:keepNext/>
      <w:keepLines/>
      <w:spacing w:before="200" w:after="100" w:line="247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9A"/>
    <w:pPr>
      <w:keepNext/>
      <w:keepLines/>
      <w:spacing w:before="160" w:after="80" w:line="247" w:lineRule="auto"/>
      <w:outlineLvl w:val="2"/>
    </w:pPr>
    <w:rPr>
      <w:rFonts w:eastAsiaTheme="majorEastAsia" w:cstheme="majorBidi" w:ascii="Times New Roman" w:hAnsi="Times New Roman" w:eastAsia="Times New Roman"/>
      <w:b/>
      <w:i w:val="0"/>
      <w:color w:val="2F5496" w:themeColor="accent1" w:themeShade="BF"/>
      <w:sz w:val="25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9A"/>
    <w:pPr>
      <w:keepNext/>
      <w:keepLines/>
      <w:spacing w:before="140" w:after="60" w:line="247" w:lineRule="auto"/>
      <w:outlineLvl w:val="3"/>
    </w:pPr>
    <w:rPr>
      <w:rFonts w:eastAsiaTheme="majorEastAsia" w:cstheme="majorBidi" w:ascii="Times New Roman" w:hAnsi="Times New Roman" w:eastAsia="Times New Roman"/>
      <w:b/>
      <w:i w:val="0"/>
      <w:iCs/>
      <w:color w:val="2F5496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9A"/>
    <w:pPr>
      <w:spacing w:after="240" w:line="247" w:lineRule="auto" w:before="10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i w:val="0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9A"/>
    <w:pPr>
      <w:numPr>
        <w:ilvl w:val="1"/>
      </w:numPr>
      <w:spacing w:before="60" w:after="200" w:line="247" w:lineRule="auto"/>
    </w:pPr>
    <w:rPr>
      <w:rFonts w:eastAsiaTheme="majorEastAsia" w:cstheme="majorBidi" w:ascii="Times New Roman" w:hAnsi="Times New Roman" w:eastAsia="Times New Roman"/>
      <w:b w:val="0"/>
      <w:i/>
      <w:color w:val="595959" w:themeColor="text1" w:themeTint="A6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9A"/>
    <w:rPr>
      <w:b/>
      <w:bCs/>
      <w:smallCaps/>
      <w:color w:val="2F5496" w:themeColor="accent1" w:themeShade="BF"/>
      <w:spacing w:val="5"/>
    </w:rPr>
  </w:style>
  <w:style w:type="paragraph" w:customStyle="1" w:styleId="Caption">
    <w:name w:val="caption"/>
    <w:pPr>
      <w:spacing w:before="60" w:after="140" w:line="240" w:lineRule="auto"/>
    </w:pPr>
    <w:rPr>
      <w:rFonts w:ascii="Times New Roman" w:hAnsi="Times New Roman" w:eastAsia="Times New Roman"/>
      <w:b w:val="0"/>
      <w:i/>
      <w:sz w:val="19"/>
    </w:rPr>
  </w:style>
  <w:style w:type="paragraph" w:customStyle="1" w:styleId="ListBullet">
    <w:name w:val="List Bullet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  <w:style w:type="paragraph" w:customStyle="1" w:styleId="ListNumber">
    <w:name w:val="List Number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1570</Words>
  <Characters>8950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Non-Functional Requirements</dc:title>
  <dc:subject>App Lock Version 1.0.0 draft specification</dc:subject>
  <dc:creator/>
  <cp:keywords/>
  <dc:description/>
  <cp:lastModifiedBy/>
  <cp:revision>1</cp:revision>
  <dcterms:created xsi:type="dcterms:W3CDTF">2026-07-19T16:06:00Z</dcterms:created>
  <dcterms:modified xsi:type="dcterms:W3CDTF">2026-07-19T17:09:00Z</dcterms:modified>
  <cp:category>Product Specification</cp:category>
  <dc:identifier/>
  <dc:language>en</dc:language>
  <cp:version/>
</cp:coreProperties>
</file>