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10. Secure Vault</w:t>
      </w:r>
    </w:p>
    <w:p>
      <w:pPr>
        <w:pStyle w:val="Heading2"/>
        <w:jc w:val="left"/>
      </w:pPr>
      <w:r>
        <w:t>10.1 Version 1.0.0 boundary</w:t>
      </w:r>
    </w:p>
    <w:p>
      <w:pPr>
        <w:jc w:val="left"/>
      </w:pPr>
      <w:r>
        <w:t>Version 1.0.0 does not provide a secure vault or retain user files, notes, passwords, images, attachments, categories, tags, searchable vault metadata, vault sessions, or vault-specific keys.</w:t>
      </w:r>
    </w:p>
    <w:p>
      <w:pPr>
        <w:jc w:val="left"/>
      </w:pPr>
      <w:r>
        <w:t>No vault interface, storage entity, import/export path, background operation, notification, recovery flow, or verification obligation is created by this specification. Inactive vault-related software or schema objects, if present, remain outside supported behavior and must not be reachable from the version 1.0.0 interface.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