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Design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11. Scheduling and Automation</w:t>
      </w:r>
    </w:p>
    <w:p>
      <w:pPr>
        <w:pStyle w:val="Heading2"/>
        <w:jc w:val="left"/>
      </w:pPr>
      <w:r>
        <w:t>11.1 Version 1.0.0 boundary</w:t>
      </w:r>
    </w:p>
    <w:p>
      <w:pPr>
        <w:jc w:val="left"/>
      </w:pPr>
      <w:r>
        <w:t>Version 1.0.0 does not include profiles, schedules, time windows, contextual conditions, automation actions, conflict resolution, execution history, or automated policy changes.</w:t>
      </w:r>
    </w:p>
    <w:p>
      <w:pPr>
        <w:jc w:val="left"/>
      </w:pPr>
      <w:r>
        <w:t>Protection depends only on the selected protected-package set, current protection health, and the package-scoped session under the chosen relock behavior. Screen-off, reboot, process death, permission change, and session expiration are security lifecycle events, not automation features.</w:t>
      </w:r>
    </w:p>
    <w:p>
      <w:pPr>
        <w:jc w:val="left"/>
      </w:pPr>
      <w:r>
        <w:t>No scheduler, rule database, trigger service, execution queue, automation notification, or automation recovery flow is required.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