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14. Data Access Design</w:t>
      </w:r>
    </w:p>
    <w:p>
      <w:pPr>
        <w:pStyle w:val="Heading2"/>
        <w:jc w:val="left"/>
      </w:pPr>
      <w:r>
        <w:t>14.1 Storage boundaries</w:t>
      </w:r>
    </w:p>
    <w:p>
      <w:pPr>
        <w:jc w:val="left"/>
      </w:pPr>
      <w:r>
        <w:t>The software uses three persistent storage boundaries and one transient boundary: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Boundary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Information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Access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Private preferences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Relock choice, haptic and reduced-motion preferences, and other ordinary version 1.0.0 settings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Settings and presentation through one settings boundary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Keystore-backed protected preferences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verifier, verifier format, retry state, biometric preference where protected, and database-opening material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 and storage initialization only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Encrypted relational database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Unique protected package identifiers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Protected-application persistence only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Process memory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Package sessions, authenticated settings state, current foreground target, active lock request, current health, and current diagnostics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Owning runtime responsibilities only</w:t>
            </w:r>
          </w:p>
        </w:tc>
      </w:tr>
    </w:tbl>
    <w:p>
      <w:pPr>
        <w:jc w:val="left"/>
      </w:pPr>
      <w:r>
        <w:t>Screens, Android callbacks, and notifications do not read or write these stores directly.</w:t>
      </w:r>
    </w:p>
    <w:p>
      <w:pPr>
        <w:pStyle w:val="Heading2"/>
        <w:jc w:val="left"/>
      </w:pPr>
      <w:r>
        <w:t>14.2 Protected-application access</w:t>
      </w:r>
    </w:p>
    <w:p>
      <w:pPr>
        <w:jc w:val="left"/>
      </w:pPr>
      <w:r>
        <w:t>The protected-application persistence boundary supports only the retained operations:</w:t>
      </w:r>
    </w:p>
    <w:p>
      <w:pPr>
        <w:pStyle w:val="ListBullet"/>
        <w:jc w:val="left"/>
      </w:pPr>
      <w:r>
        <w:t>read the complete protected package set;</w:t>
      </w:r>
    </w:p>
    <w:p>
      <w:pPr>
        <w:pStyle w:val="ListBullet"/>
        <w:jc w:val="left"/>
      </w:pPr>
      <w:r>
        <w:t>determine whether a package is selected;</w:t>
      </w:r>
    </w:p>
    <w:p>
      <w:pPr>
        <w:pStyle w:val="ListBullet"/>
        <w:jc w:val="left"/>
      </w:pPr>
      <w:r>
        <w:t>add a unique package identifier;</w:t>
      </w:r>
    </w:p>
    <w:p>
      <w:pPr>
        <w:pStyle w:val="ListBullet"/>
        <w:jc w:val="left"/>
      </w:pPr>
      <w:r>
        <w:t>remove a package identifier; and</w:t>
      </w:r>
    </w:p>
    <w:p>
      <w:pPr>
        <w:pStyle w:val="ListBullet"/>
        <w:jc w:val="left"/>
      </w:pPr>
      <w:r>
        <w:t>observe the committed set needed by presentation and protection.</w:t>
      </w:r>
    </w:p>
    <w:p>
      <w:pPr>
        <w:jc w:val="left"/>
      </w:pPr>
      <w:r>
        <w:t>Installed-app discovery and search do not become database queries. Display labels and icons remain Android-owned current information.</w:t>
      </w:r>
    </w:p>
    <w:p>
      <w:pPr>
        <w:pStyle w:val="Heading2"/>
        <w:jc w:val="left"/>
      </w:pPr>
      <w:r>
        <w:t>14.3 Settings access</w:t>
      </w:r>
    </w:p>
    <w:p>
      <w:pPr>
        <w:jc w:val="left"/>
      </w:pPr>
      <w:r>
        <w:t>Settings are read through one validated snapshot with documented defaults. An unknown or unavailable stored value falls back to a safe supported value, with immediate relock as the relock default.</w:t>
      </w:r>
    </w:p>
    <w:p>
      <w:pPr>
        <w:jc w:val="left"/>
      </w:pPr>
      <w:r>
        <w:t>Writing a setting validates that the value is one of the supported choices. A failed write leaves the last durable value active and tells the user that the change was not saved.</w:t>
      </w:r>
    </w:p>
    <w:p>
      <w:pPr>
        <w:pStyle w:val="Heading2"/>
        <w:jc w:val="left"/>
      </w:pPr>
      <w:r>
        <w:t>14.4 Authentication storage access</w:t>
      </w:r>
    </w:p>
    <w:p>
      <w:pPr>
        <w:jc w:val="left"/>
      </w:pPr>
      <w:r>
        <w:t>Credential and lockout operations are atomic at the logical level. PIN setup never exposes a configured state until a complete verifier record exists. Failure counting and lockout deadline are updated together as one authentication outcome.</w:t>
      </w:r>
    </w:p>
    <w:p>
      <w:pPr>
        <w:jc w:val="left"/>
      </w:pPr>
      <w:r>
        <w:t>Authentication storage returns success, not configured, unavailable, or invalid-format outcomes. It does not return internal paths, encryption metadata, or platform exceptions to presentation.</w:t>
      </w:r>
    </w:p>
    <w:p>
      <w:pPr>
        <w:pStyle w:val="Heading2"/>
        <w:jc w:val="left"/>
      </w:pPr>
      <w:r>
        <w:t>14.5 Transaction and snapshot consistency</w:t>
      </w:r>
    </w:p>
    <w:p>
      <w:pPr>
        <w:jc w:val="left"/>
      </w:pPr>
      <w:r>
        <w:t>Protected package addition and removal commit before the in-memory protection snapshot changes. When commit succeeds but snapshot refresh fails, protection re-reads the authoritative set before another decision.</w:t>
      </w:r>
    </w:p>
    <w:p>
      <w:pPr>
        <w:jc w:val="left"/>
      </w:pPr>
      <w:r>
        <w:t>A failed database write never produces a temporary unprotected state. If a user requests removal and the write fails, the package remains protected.</w:t>
      </w:r>
    </w:p>
    <w:p>
      <w:pPr>
        <w:pStyle w:val="Heading2"/>
        <w:jc w:val="left"/>
      </w:pPr>
      <w:r>
        <w:t>14.6 Caching</w:t>
      </w:r>
    </w:p>
    <w:p>
      <w:pPr>
        <w:jc w:val="left"/>
      </w:pPr>
      <w:r>
        <w:t>The in-memory protected set is a runtime snapshot, not an independent source of truth. It is loaded from the verified database at startup and updated after commits. It is discarded on process death.</w:t>
      </w:r>
    </w:p>
    <w:p>
      <w:pPr>
        <w:jc w:val="left"/>
      </w:pPr>
      <w:r>
        <w:t>Application labels and icons may use short-lived presentation caching already provided by the platform or user-interface toolkit. No persistent app-metadata cache is required.</w:t>
      </w:r>
    </w:p>
    <w:p>
      <w:pPr>
        <w:pStyle w:val="Heading2"/>
        <w:jc w:val="left"/>
      </w:pPr>
      <w:r>
        <w:t>14.7 Excluded data access</w:t>
      </w:r>
    </w:p>
    <w:p>
      <w:pPr>
        <w:jc w:val="left"/>
      </w:pPr>
      <w:r>
        <w:t>There are no version 1.0.0 repositories or stores for vault data, schedules, automation, backup, recovery material, notification history, security events, diagnostic history, metrics, app groups, or media.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