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16. Database Interaction Design</w:t>
      </w:r>
    </w:p>
    <w:p>
      <w:pPr>
        <w:pStyle w:val="Heading2"/>
        <w:jc w:val="left"/>
      </w:pPr>
      <w:r>
        <w:t>16.1 Database role</w:t>
      </w:r>
    </w:p>
    <w:p>
      <w:pPr>
        <w:jc w:val="left"/>
      </w:pPr>
      <w:r>
        <w:t>The encrypted embedded relational database is the authoritative persistent store for the selected protected package identifiers. It is not used for credentials, sessions, settings, installed-app metadata, histories, notifications, diagnostics, or excluded features.</w:t>
      </w:r>
    </w:p>
    <w:p>
      <w:pPr>
        <w:pStyle w:val="Heading2"/>
        <w:jc w:val="left"/>
      </w:pPr>
      <w:r>
        <w:t>16.2 Opening sequence</w:t>
      </w:r>
    </w:p>
    <w:p>
      <w:pPr>
        <w:jc w:val="left"/>
      </w:pPr>
      <w:r>
        <w:t>Before normal access, the application first identifies whether local storage is absent, current encrypted storage, or an explicitly supported earlier source format. A clean installation creates the current encrypted store. A current encrypted source follows the normal opening path below. A supported earlier source follows the migration sequence in the Database Design Specification before normal encrypted opening. An unknown source stops safely.</w:t>
      </w:r>
    </w:p>
    <w:p>
      <w:pPr>
        <w:jc w:val="left"/>
      </w:pPr>
      <w:r>
        <w:t>For a current encrypted source:</w:t>
      </w:r>
    </w:p>
    <w:p>
      <w:pPr>
        <w:pStyle w:val="ListNumber"/>
        <w:jc w:val="left"/>
      </w:pPr>
      <w:r>
        <w:t>obtain the Keystore-protected database-opening material;</w:t>
      </w:r>
    </w:p>
    <w:p>
      <w:pPr>
        <w:pStyle w:val="ListNumber"/>
        <w:jc w:val="left"/>
      </w:pPr>
      <w:r>
        <w:t>open the encrypted database in private application storage;</w:t>
      </w:r>
    </w:p>
    <w:p>
      <w:pPr>
        <w:pStyle w:val="ListNumber"/>
        <w:jc w:val="left"/>
      </w:pPr>
      <w:r>
        <w:t>read the schema version;</w:t>
      </w:r>
    </w:p>
    <w:p>
      <w:pPr>
        <w:pStyle w:val="ListNumber"/>
        <w:jc w:val="left"/>
      </w:pPr>
      <w:r>
        <w:t>complete any explicitly supported ordered migration;</w:t>
      </w:r>
    </w:p>
    <w:p>
      <w:pPr>
        <w:pStyle w:val="ListNumber"/>
        <w:jc w:val="left"/>
      </w:pPr>
      <w:r>
        <w:t>verify that the protected-package collection and uniqueness constraint are usable; and</w:t>
      </w:r>
    </w:p>
    <w:p>
      <w:pPr>
        <w:pStyle w:val="ListNumber"/>
        <w:jc w:val="left"/>
      </w:pPr>
      <w:r>
        <w:t>load the selected package identifiers.</w:t>
      </w:r>
    </w:p>
    <w:p>
      <w:pPr>
        <w:jc w:val="left"/>
      </w:pPr>
      <w:r>
        <w:t>Normal protection does not start from an Unknown or not verified state or a partially migrated database.</w:t>
      </w:r>
    </w:p>
    <w:p>
      <w:pPr>
        <w:pStyle w:val="Heading2"/>
        <w:jc w:val="left"/>
      </w:pPr>
      <w:r>
        <w:t>16.3 Operation contract</w:t>
      </w:r>
    </w:p>
    <w:p>
      <w:pPr>
        <w:jc w:val="left"/>
      </w:pPr>
      <w:r>
        <w:t>Database operations use parameterized statements through the retained persistence boundary. Package identifiers are validated before insertion. Duplicate insertion produces the already-present final state. Removal of an absent identifier produces the absent final state.</w:t>
      </w:r>
    </w:p>
    <w:p>
      <w:pPr>
        <w:jc w:val="left"/>
      </w:pPr>
      <w:r>
        <w:t>The protected-package set is small enough to load as a complete in-memory snapshot. No pagination, join, full-text search, sorting index, or generic query description is required.</w:t>
      </w:r>
    </w:p>
    <w:p>
      <w:pPr>
        <w:pStyle w:val="Heading2"/>
        <w:jc w:val="left"/>
      </w:pPr>
      <w:r>
        <w:t>16.4 Atomicity and concurrency</w:t>
      </w:r>
    </w:p>
    <w:p>
      <w:pPr>
        <w:jc w:val="left"/>
      </w:pPr>
      <w:r>
        <w:t>Each add or remove is one transaction. Schema migration is serialized and runs before ordinary access. Reads may occur concurrently only after database readiness is established.</w:t>
      </w:r>
    </w:p>
    <w:p>
      <w:pPr>
        <w:jc w:val="left"/>
      </w:pPr>
      <w:r>
        <w:t>The process contains one authoritative database instance. Callers do not open independent connections with different encryption or migration behavior.</w:t>
      </w:r>
    </w:p>
    <w:p>
      <w:pPr>
        <w:pStyle w:val="Heading2"/>
        <w:jc w:val="left"/>
      </w:pPr>
      <w:r>
        <w:t>16.5 Failure</w:t>
      </w:r>
    </w:p>
    <w:p>
      <w:pPr>
        <w:jc w:val="left"/>
      </w:pPr>
      <w:r>
        <w:t>An open, encryption, schema, integrity, or migration failure is translated to an unavailable local-configuration state. The application does not silently create an empty replacement and thereby discard protection.</w:t>
      </w:r>
    </w:p>
    <w:p>
      <w:pPr>
        <w:jc w:val="left"/>
      </w:pPr>
      <w:r>
        <w:t>When the failure cannot be repaired without the absent key or a supported migration, the only version 1.0.0 recovery is to clear application data and configure protection again.</w:t>
      </w:r>
    </w:p>
    <w:p>
      <w:pPr>
        <w:pStyle w:val="Heading2"/>
        <w:jc w:val="left"/>
      </w:pPr>
      <w:r>
        <w:t>16.6 Detailed persistence design</w:t>
      </w:r>
    </w:p>
    <w:p>
      <w:pPr>
        <w:jc w:val="left"/>
      </w:pPr>
      <w:r>
        <w:t>The Database Design Specification defines the supported information, constraints, migration, lifecycle, encryption, and verification. This section is authoritative only for the software interaction and sequencing described above.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