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Design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4. Software Organization</w:t>
      </w:r>
    </w:p>
    <w:p>
      <w:pPr>
        <w:pStyle w:val="Heading2"/>
        <w:jc w:val="left"/>
      </w:pPr>
      <w:r>
        <w:t>4.1 Logical areas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3080"/>
        <w:gridCol w:w="3080"/>
        <w:gridCol w:w="3080"/>
      </w:tblGrid>
      <w:tr>
        <w:trPr>
          <w:tblHeader w:val="true"/>
        </w:trPr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Logical area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Primary responsibility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Persistent state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Presentation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Screens, navigation, input, visible loading/error/empty states, accessible feedback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Harmless preferences only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Authentication and session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PIN and biometric result handling, retry control, lockout, package-scoped sessions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 verifier and lockout state; no persistent session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Foreground-target evaluation, session decision, lock request, relock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 applications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Eligible-app discovery and selected package set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 package identifiers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health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Current capability, service, presentation, and storage assessment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integration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Usage Access queries, biometric prompt, system settings handoffs, lifecycle signals, notification delivery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None beyond Android-owned state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Persistence and security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Private settings, encrypted relational data, protected preferences, key use, migration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As defined by the database specification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Help and current diagnostics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User-readable status and recovery guidance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None</w:t>
            </w:r>
          </w:p>
        </w:tc>
      </w:tr>
    </w:tbl>
    <w:p>
      <w:pPr>
        <w:jc w:val="left"/>
      </w:pPr>
      <w:r>
        <w:t>These are logical boundaries. A small implementation may combine adjacent responsibilities when ownership remains clear and tests can verify the boundary.</w:t>
      </w:r>
    </w:p>
    <w:p>
      <w:pPr>
        <w:pStyle w:val="Heading2"/>
        <w:jc w:val="left"/>
      </w:pPr>
      <w:r>
        <w:t>4.2 Dependency direction</w:t>
      </w:r>
    </w:p>
    <w:p>
      <w:pPr>
        <w:jc w:val="left"/>
      </w:pPr>
      <w:r>
        <w:t>Presentation invokes application operations and observes results. Application operations use authentication, protection, and protected-application rules. Those rules use narrow persistence and Android boundaries. Storage and Android implementations do not call into screens.</w:t>
      </w:r>
    </w:p>
    <w:p>
      <w:pPr>
        <w:jc w:val="left"/>
      </w:pPr>
      <w:r>
        <w:t>The permitted direction is:</w:t>
      </w:r>
    </w:p>
    <w:p>
      <w:pPr>
        <w:pStyle w:val="ListNumber"/>
        <w:jc w:val="left"/>
      </w:pPr>
      <w:r>
        <w:t>presentation;</w:t>
      </w:r>
    </w:p>
    <w:p>
      <w:pPr>
        <w:pStyle w:val="ListNumber"/>
        <w:jc w:val="left"/>
      </w:pPr>
      <w:r>
        <w:t>application operation;</w:t>
      </w:r>
    </w:p>
    <w:p>
      <w:pPr>
        <w:pStyle w:val="ListNumber"/>
        <w:jc w:val="left"/>
      </w:pPr>
      <w:r>
        <w:t>core authentication or protection decision;</w:t>
      </w:r>
    </w:p>
    <w:p>
      <w:pPr>
        <w:pStyle w:val="ListNumber"/>
        <w:jc w:val="left"/>
      </w:pPr>
      <w:r>
        <w:t>persistence or Android boundary; and</w:t>
      </w:r>
    </w:p>
    <w:p>
      <w:pPr>
        <w:pStyle w:val="ListNumber"/>
        <w:jc w:val="left"/>
      </w:pPr>
      <w:r>
        <w:t>local platform facility.</w:t>
      </w:r>
    </w:p>
    <w:p>
      <w:pPr>
        <w:jc w:val="left"/>
      </w:pPr>
      <w:r>
        <w:t>Reverse notification occurs through returned results, observable state, or a narrowly scoped callback. No component reads another component’s private mutable state.</w:t>
      </w:r>
    </w:p>
    <w:p>
      <w:pPr>
        <w:pStyle w:val="Heading2"/>
        <w:jc w:val="left"/>
      </w:pPr>
      <w:r>
        <w:t>4.3 State ownership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3080"/>
        <w:gridCol w:w="3080"/>
        <w:gridCol w:w="3080"/>
      </w:tblGrid>
      <w:tr>
        <w:trPr>
          <w:tblHeader w:val="true"/>
        </w:trPr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State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Authoritative owner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Consumers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PIN configured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 authentication storage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Onboarding, authentication, health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Failed-attempt count and lockout deadline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PIN screen, settings authentication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Biometric preference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 settings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Authentication, settings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Biometric eligibility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biometric capability query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Authentication, status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 package set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Encrypted relational persistence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Protection, application list, health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Current foreground package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Usage Access detection cycle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only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Active package session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In-memory session handling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Current lock request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presentation coordination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Lock screen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Permission and service state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Protection-health evaluation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Dashboard, onboarding, notifications</w:t>
            </w:r>
          </w:p>
        </w:tc>
      </w:tr>
    </w:tbl>
    <w:p>
      <w:pPr>
        <w:pStyle w:val="Heading2"/>
        <w:jc w:val="left"/>
      </w:pPr>
      <w:r>
        <w:t>4.4 Initialization order</w:t>
      </w:r>
    </w:p>
    <w:p>
      <w:pPr>
        <w:jc w:val="left"/>
      </w:pPr>
      <w:r>
        <w:t>Startup follows a fail-safe order:</w:t>
      </w:r>
    </w:p>
    <w:p>
      <w:pPr>
        <w:pStyle w:val="ListNumber"/>
        <w:jc w:val="left"/>
      </w:pPr>
      <w:r>
        <w:t>initialize protected storage and obtain the database-opening capability;</w:t>
      </w:r>
    </w:p>
    <w:p>
      <w:pPr>
        <w:pStyle w:val="ListNumber"/>
        <w:jc w:val="left"/>
      </w:pPr>
      <w:r>
        <w:t>verify schema compatibility and complete any supported migration;</w:t>
      </w:r>
    </w:p>
    <w:p>
      <w:pPr>
        <w:pStyle w:val="ListNumber"/>
        <w:jc w:val="left"/>
      </w:pPr>
      <w:r>
        <w:t>load the selected protected-package set;</w:t>
      </w:r>
    </w:p>
    <w:p>
      <w:pPr>
        <w:pStyle w:val="ListNumber"/>
        <w:jc w:val="left"/>
      </w:pPr>
      <w:r>
        <w:t>read credential, lockout, biometric, and relock settings;</w:t>
      </w:r>
    </w:p>
    <w:p>
      <w:pPr>
        <w:pStyle w:val="ListNumber"/>
        <w:jc w:val="left"/>
      </w:pPr>
      <w:r>
        <w:t>query current Usage Access, notification, and service state;</w:t>
      </w:r>
    </w:p>
    <w:p>
      <w:pPr>
        <w:pStyle w:val="ListNumber"/>
        <w:jc w:val="left"/>
      </w:pPr>
      <w:r>
        <w:t>derive protection health;</w:t>
      </w:r>
    </w:p>
    <w:p>
      <w:pPr>
        <w:pStyle w:val="ListNumber"/>
        <w:jc w:val="left"/>
      </w:pPr>
      <w:r>
        <w:t>start or resume protection checks only when setup and protected selection require them; and</w:t>
      </w:r>
    </w:p>
    <w:p>
      <w:pPr>
        <w:pStyle w:val="ListNumber"/>
        <w:jc w:val="left"/>
      </w:pPr>
      <w:r>
        <w:t>publish visible state to presentation.</w:t>
      </w:r>
    </w:p>
    <w:p>
      <w:pPr>
        <w:jc w:val="left"/>
      </w:pPr>
      <w:r>
        <w:t>If protected storage cannot be opened or migration fails, normal protection operation does not begin with an empty package set. The user receives an unrecoverable local-data message and the option to clear application data through Android.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