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Requirements Specification</w:t>
      </w:r>
    </w:p>
    <w:p>
      <w:pPr>
        <w:pStyle w:val="Heading1"/>
        <w:jc w:val="left"/>
      </w:pPr>
      <w:r>
        <w:t>Version 1.0.0</w:t>
      </w:r>
    </w:p>
    <w:p>
      <w:pPr>
        <w:pStyle w:val="Heading1"/>
        <w:jc w:val="left"/>
      </w:pPr>
      <w:r>
        <w:t>2. Users and Operating Context</w:t>
      </w:r>
    </w:p>
    <w:p>
      <w:pPr>
        <w:jc w:val="left"/>
      </w:pPr>
      <w:r>
        <w:t>The application is intended for an individual who controls a supported Android phone and wants an additional local access check before selected applications can be opened. Use may occur in public, shared, distracting, low-connectivity, or accessibility-assisted contexts.</w:t>
      </w:r>
    </w:p>
    <w:p>
      <w:pPr>
        <w:jc w:val="left"/>
      </w:pPr>
      <w:r>
        <w:t>The user is expected to understand that Android controls process lifetime, startup timing, power restrictions, and permission availability. Where the operating system prevents reliable detection or lock presentation, the application must identify that limitation and guide the user to a safe recovery action.</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