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Requirements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Section 18 Secure Development and Maintenance</w:t>
      </w:r>
    </w:p>
    <w:p>
      <w:pPr>
        <w:jc w:val="left"/>
      </w:pPr>
      <w:r>
        <w:t>FR-351 through FR-375 are not included as normative Version 1.0.0 requirements. Their identifiers remain reserved and are not renumbered or reused.</w:t>
      </w:r>
    </w:p>
    <w:p>
      <w:pPr>
        <w:jc w:val="left"/>
      </w:pPr>
      <w:r>
        <w:t>Version 1.0.0 creates no screen, data, permission, background work, compatibility, migration, or acceptance obligation for functional product obligations; applicable quality and design outcomes are stated once in the NFR and design specifications.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