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6 Scheduling and Automation</w:t>
      </w:r>
    </w:p>
    <w:p>
      <w:pPr>
        <w:jc w:val="left"/>
      </w:pPr>
      <w:r>
        <w:t>FR-126 through FR-145 are not included as normative Version 1.0.0 requirements. Their identifiers remain reserved and are not renumbered or reused.</w:t>
      </w:r>
    </w:p>
    <w:p>
      <w:pPr>
        <w:jc w:val="left"/>
      </w:pPr>
      <w:r>
        <w:t>Version 1.0.0 creates no screen, data, permission, background work, compatibility, migration, or acceptance obligation for schedules, profiles, triggers, rules, recommendations, overrides, and automation records.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