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Threat Model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Appendix B — Scope Exclusions and User Consequences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Excluded item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Version 1.0.0 treatment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User consequence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Vault and private media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storage, import, viewing, organization, export, or deletion capability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 Lock protects application entry only; it is not a private-file product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Backup, restore, and device transfer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archive, import, recovery, or new-device flow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Local configuration must be set up again after data loss or on another phone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Recovery password and accounts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secondary secret, email, cloud identity, or security questions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Forgotten PIN requires destructive local reset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Profiles, schedules, and automation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One global protection and relock policy only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does not change automatically by time, place, connection, or profile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Intruder capture and event media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camera use or intruder library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Failed attempts produce retry/lockout state only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Third-party notification access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reading, masking, replacing, or storing another application's notification content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Only App Lock's own essential notifications are controlled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 Lock Accessibility service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permission request or event-based enhancement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Foreground detection uses Android Usage Access only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Device-administrator uninstall prevention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administrator enrollment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The Android device user may uninstall App Lock or clear its data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Network, account, cloud, and remote administration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routine application network communication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Core operation is local and there is no remote recovery or control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Advanced diagnostics and reports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health and bounded local records only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export, long-term history, trends, dashboard, or remote telemetry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Non-phone and alternate-profile environments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support claim or tailored acceptance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Behavior is unspecified outside conventional supported phone installations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8 through Android 10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support or compatibility claim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11 is the minimum supported version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Root/system compromise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assurance that App Lock can resist a privileged attacker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Security guarantee applies only to non-compromised supported phones</w:t>
            </w:r>
          </w:p>
        </w:tc>
      </w:tr>
    </w:tbl>
    <w:p>
      <w:pPr>
        <w:jc w:val="left"/>
      </w:pPr>
      <w:r>
        <w:t>Established identifiers THR-IPC-004 and THR-INT-002/003 remain reserved because their original subjects depend on excluded cross-application sharing, alternate distribution, or maintenance surfaces. They create no Version 1.0.0 control or verification obligation.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