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Threat Model</w:t>
      </w:r>
    </w:p>
    <w:p>
      <w:pPr>
        <w:pStyle w:val="Heading1"/>
        <w:jc w:val="left"/>
      </w:pPr>
      <w:r>
        <w:t>Version 1.0.0</w:t>
      </w:r>
    </w:p>
    <w:p>
      <w:pPr>
        <w:pStyle w:val="Heading1"/>
        <w:jc w:val="left"/>
      </w:pPr>
      <w:r>
        <w:t>2. Protected Assets, Security Properties, and Trust Boundaries</w:t>
      </w:r>
    </w:p>
    <w:p>
      <w:pPr>
        <w:pStyle w:val="Heading2"/>
        <w:jc w:val="left"/>
      </w:pPr>
      <w:r>
        <w:t>2.1 Protected Assets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10"/>
        <w:gridCol w:w="2310"/>
        <w:gridCol w:w="2310"/>
        <w:gridCol w:w="2310"/>
      </w:tblGrid>
      <w:tr>
        <w:trPr>
          <w:tblHeader w:val="true"/>
        </w:trPr>
        <w:tc>
          <w:tcPr>
            <w:tcW w:type="dxa" w:w="2412"/>
            <w:vAlign w:val="center"/>
            <w:shd w:fill="D9E1F2"/>
            <w:tcW w:type="dxa" w:w="2310"/>
          </w:tcPr>
          <w:p>
            <w:pPr>
              <w:spacing w:after="40"/>
            </w:pPr>
            <w:r>
              <w:rPr>
                <w:rFonts w:ascii="Times New Roman" w:hAnsi="Times New Roman"/>
                <w:b/>
                <w:sz w:val="19"/>
              </w:rPr>
              <w:t>Asset</w:t>
            </w:r>
          </w:p>
        </w:tc>
        <w:tc>
          <w:tcPr>
            <w:tcW w:type="dxa" w:w="2412"/>
            <w:vAlign w:val="center"/>
            <w:shd w:fill="D9E1F2"/>
            <w:tcW w:type="dxa" w:w="2310"/>
          </w:tcPr>
          <w:p>
            <w:pPr>
              <w:spacing w:after="40"/>
            </w:pPr>
            <w:r>
              <w:rPr>
                <w:rFonts w:ascii="Times New Roman" w:hAnsi="Times New Roman"/>
                <w:b/>
                <w:sz w:val="19"/>
              </w:rPr>
              <w:t>Sensitivity</w:t>
            </w:r>
          </w:p>
        </w:tc>
        <w:tc>
          <w:tcPr>
            <w:tcW w:type="dxa" w:w="2412"/>
            <w:vAlign w:val="center"/>
            <w:shd w:fill="D9E1F2"/>
            <w:tcW w:type="dxa" w:w="2310"/>
          </w:tcPr>
          <w:p>
            <w:pPr>
              <w:spacing w:after="40"/>
            </w:pPr>
            <w:r>
              <w:rPr>
                <w:rFonts w:ascii="Times New Roman" w:hAnsi="Times New Roman"/>
                <w:b/>
                <w:sz w:val="19"/>
              </w:rPr>
              <w:t>Required security properties</w:t>
            </w:r>
          </w:p>
        </w:tc>
        <w:tc>
          <w:tcPr>
            <w:tcW w:type="dxa" w:w="2412"/>
            <w:vAlign w:val="center"/>
            <w:shd w:fill="D9E1F2"/>
            <w:tcW w:type="dxa" w:w="2310"/>
          </w:tcPr>
          <w:p>
            <w:pPr>
              <w:spacing w:after="40"/>
            </w:pPr>
            <w:r>
              <w:rPr>
                <w:rFonts w:ascii="Times New Roman" w:hAnsi="Times New Roman"/>
                <w:b/>
                <w:sz w:val="19"/>
              </w:rPr>
              <w:t>Security consequence of compromise</w:t>
            </w:r>
          </w:p>
        </w:tc>
      </w:tr>
      <w:tr>
        <w:trPr>
          <w:cantSplit/>
        </w:trPr>
        <w:tc>
          <w:tcPr>
            <w:tcW w:type="dxa" w:w="2412"/>
            <w:vAlign w:val="top"/>
            <w:tcW w:type="dxa" w:w="2310"/>
          </w:tcPr>
          <w:p>
            <w:pPr>
              <w:spacing w:before="20" w:after="40"/>
            </w:pPr>
            <w:r>
              <w:rPr>
                <w:rFonts w:ascii="Times New Roman" w:hAnsi="Times New Roman"/>
                <w:sz w:val="19"/>
              </w:rPr>
              <w:t>PIN verifier, salt, retry state, and lockout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Confidentiality, integrity, reliable persistence</w:t>
            </w:r>
          </w:p>
        </w:tc>
        <w:tc>
          <w:tcPr>
            <w:tcW w:type="dxa" w:w="2412"/>
            <w:vAlign w:val="top"/>
            <w:tcW w:type="dxa" w:w="2310"/>
          </w:tcPr>
          <w:p>
            <w:pPr>
              <w:spacing w:before="20" w:after="40"/>
            </w:pPr>
            <w:r>
              <w:rPr>
                <w:rFonts w:ascii="Times New Roman" w:hAnsi="Times New Roman"/>
                <w:sz w:val="19"/>
              </w:rPr>
              <w:t>PIN guessing may be accelerated, attempts may become unlimited, or an incorrect PIN may be accepted</w:t>
            </w:r>
          </w:p>
        </w:tc>
      </w:tr>
      <w:tr>
        <w:trPr>
          <w:cantSplit/>
        </w:trPr>
        <w:tc>
          <w:tcPr>
            <w:tcW w:type="dxa" w:w="2412"/>
            <w:vAlign w:val="top"/>
            <w:tcW w:type="dxa" w:w="2310"/>
          </w:tcPr>
          <w:p>
            <w:pPr>
              <w:spacing w:before="20" w:after="40"/>
            </w:pPr>
            <w:r>
              <w:rPr>
                <w:rFonts w:ascii="Times New Roman" w:hAnsi="Times New Roman"/>
                <w:sz w:val="19"/>
              </w:rPr>
              <w:t>Active biometric request and result</w:t>
            </w:r>
          </w:p>
        </w:tc>
        <w:tc>
          <w:tcPr>
            <w:tcW w:type="dxa" w:w="2412"/>
            <w:vAlign w:val="top"/>
            <w:tcW w:type="dxa" w:w="2310"/>
          </w:tcPr>
          <w:p>
            <w:pPr>
              <w:spacing w:before="20" w:after="40"/>
            </w:pPr>
            <w:r>
              <w:rPr>
                <w:rFonts w:ascii="Times New Roman" w:hAnsi="Times New Roman"/>
                <w:sz w:val="19"/>
              </w:rPr>
              <w:t>Critical while active</w:t>
            </w:r>
          </w:p>
        </w:tc>
        <w:tc>
          <w:tcPr>
            <w:tcW w:type="dxa" w:w="2412"/>
            <w:vAlign w:val="top"/>
            <w:tcW w:type="dxa" w:w="2310"/>
          </w:tcPr>
          <w:p>
            <w:pPr>
              <w:spacing w:before="20" w:after="40"/>
            </w:pPr>
            <w:r>
              <w:rPr>
                <w:rFonts w:ascii="Times New Roman" w:hAnsi="Times New Roman"/>
                <w:sz w:val="19"/>
              </w:rPr>
              <w:t>Authenticity, freshness, correct request binding</w:t>
            </w:r>
          </w:p>
        </w:tc>
        <w:tc>
          <w:tcPr>
            <w:tcW w:type="dxa" w:w="2412"/>
            <w:vAlign w:val="top"/>
            <w:tcW w:type="dxa" w:w="2310"/>
          </w:tcPr>
          <w:p>
            <w:pPr>
              <w:spacing w:before="20" w:after="40"/>
            </w:pPr>
            <w:r>
              <w:rPr>
                <w:rFonts w:ascii="Times New Roman" w:hAnsi="Times New Roman"/>
                <w:sz w:val="19"/>
              </w:rPr>
              <w:t>A stale, cancelled, or unrelated result may be treated as authorization</w:t>
            </w:r>
          </w:p>
        </w:tc>
      </w:tr>
      <w:tr>
        <w:trPr>
          <w:cantSplit/>
        </w:trPr>
        <w:tc>
          <w:tcPr>
            <w:tcW w:type="dxa" w:w="2412"/>
            <w:vAlign w:val="top"/>
            <w:tcW w:type="dxa" w:w="2310"/>
          </w:tcPr>
          <w:p>
            <w:pPr>
              <w:spacing w:before="20" w:after="40"/>
            </w:pPr>
            <w:r>
              <w:rPr>
                <w:rFonts w:ascii="Times New Roman" w:hAnsi="Times New Roman"/>
                <w:sz w:val="19"/>
              </w:rPr>
              <w:t>Protected-application selection</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availability, confidentiality where practical</w:t>
            </w:r>
          </w:p>
        </w:tc>
        <w:tc>
          <w:tcPr>
            <w:tcW w:type="dxa" w:w="2412"/>
            <w:vAlign w:val="top"/>
            <w:tcW w:type="dxa" w:w="2310"/>
          </w:tcPr>
          <w:p>
            <w:pPr>
              <w:spacing w:before="20" w:after="40"/>
            </w:pPr>
            <w:r>
              <w:rPr>
                <w:rFonts w:ascii="Times New Roman" w:hAnsi="Times New Roman"/>
                <w:sz w:val="19"/>
              </w:rPr>
              <w:t>An attacker may remove an application from protection or learn which applications the user protects</w:t>
            </w:r>
          </w:p>
        </w:tc>
      </w:tr>
      <w:tr>
        <w:trPr>
          <w:cantSplit/>
        </w:trPr>
        <w:tc>
          <w:tcPr>
            <w:tcW w:type="dxa" w:w="2412"/>
            <w:vAlign w:val="top"/>
            <w:tcW w:type="dxa" w:w="2310"/>
          </w:tcPr>
          <w:p>
            <w:pPr>
              <w:spacing w:before="20" w:after="40"/>
            </w:pPr>
            <w:r>
              <w:rPr>
                <w:rFonts w:ascii="Times New Roman" w:hAnsi="Times New Roman"/>
                <w:sz w:val="19"/>
              </w:rPr>
              <w:t>Global relock policy and protection settings</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authenticated modification</w:t>
            </w:r>
          </w:p>
        </w:tc>
        <w:tc>
          <w:tcPr>
            <w:tcW w:type="dxa" w:w="2412"/>
            <w:vAlign w:val="top"/>
            <w:tcW w:type="dxa" w:w="2310"/>
          </w:tcPr>
          <w:p>
            <w:pPr>
              <w:spacing w:before="20" w:after="40"/>
            </w:pPr>
            <w:r>
              <w:rPr>
                <w:rFonts w:ascii="Times New Roman" w:hAnsi="Times New Roman"/>
                <w:sz w:val="19"/>
              </w:rPr>
              <w:t>Authorization may last longer than intended or protection may be reduced without consent</w:t>
            </w:r>
          </w:p>
        </w:tc>
      </w:tr>
      <w:tr>
        <w:trPr>
          <w:cantSplit/>
        </w:trPr>
        <w:tc>
          <w:tcPr>
            <w:tcW w:type="dxa" w:w="2412"/>
            <w:vAlign w:val="top"/>
            <w:tcW w:type="dxa" w:w="2310"/>
          </w:tcPr>
          <w:p>
            <w:pPr>
              <w:spacing w:before="20" w:after="40"/>
            </w:pPr>
            <w:r>
              <w:rPr>
                <w:rFonts w:ascii="Times New Roman" w:hAnsi="Times New Roman"/>
                <w:sz w:val="19"/>
              </w:rPr>
              <w:t>Authorization-session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freshness, bounded lifetime</w:t>
            </w:r>
          </w:p>
        </w:tc>
        <w:tc>
          <w:tcPr>
            <w:tcW w:type="dxa" w:w="2412"/>
            <w:vAlign w:val="top"/>
            <w:tcW w:type="dxa" w:w="2310"/>
          </w:tcPr>
          <w:p>
            <w:pPr>
              <w:spacing w:before="20" w:after="40"/>
            </w:pPr>
            <w:r>
              <w:rPr>
                <w:rFonts w:ascii="Times New Roman" w:hAnsi="Times New Roman"/>
                <w:sz w:val="19"/>
              </w:rPr>
              <w:t>Protected applications may remain accessible without fresh authentication</w:t>
            </w:r>
          </w:p>
        </w:tc>
      </w:tr>
      <w:tr>
        <w:trPr>
          <w:cantSplit/>
        </w:trPr>
        <w:tc>
          <w:tcPr>
            <w:tcW w:type="dxa" w:w="2412"/>
            <w:vAlign w:val="top"/>
            <w:tcW w:type="dxa" w:w="2310"/>
          </w:tcPr>
          <w:p>
            <w:pPr>
              <w:spacing w:before="20" w:after="40"/>
            </w:pPr>
            <w:r>
              <w:rPr>
                <w:rFonts w:ascii="Times New Roman" w:hAnsi="Times New Roman"/>
                <w:sz w:val="19"/>
              </w:rPr>
              <w:t>Foreground detection, presentation, and health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Integrity, availability, truthful reporting</w:t>
            </w:r>
          </w:p>
        </w:tc>
        <w:tc>
          <w:tcPr>
            <w:tcW w:type="dxa" w:w="2412"/>
            <w:vAlign w:val="top"/>
            <w:tcW w:type="dxa" w:w="2310"/>
          </w:tcPr>
          <w:p>
            <w:pPr>
              <w:spacing w:before="20" w:after="40"/>
            </w:pPr>
            <w:r>
              <w:rPr>
                <w:rFonts w:ascii="Times New Roman" w:hAnsi="Times New Roman"/>
                <w:sz w:val="19"/>
              </w:rPr>
              <w:t>A protected application may be usable while protection appears normal</w:t>
            </w:r>
          </w:p>
        </w:tc>
      </w:tr>
      <w:tr>
        <w:trPr>
          <w:cantSplit/>
        </w:trPr>
        <w:tc>
          <w:tcPr>
            <w:tcW w:type="dxa" w:w="2412"/>
            <w:vAlign w:val="top"/>
            <w:tcW w:type="dxa" w:w="2310"/>
          </w:tcPr>
          <w:p>
            <w:pPr>
              <w:spacing w:before="20" w:after="40"/>
            </w:pPr>
            <w:r>
              <w:rPr>
                <w:rFonts w:ascii="Times New Roman" w:hAnsi="Times New Roman"/>
                <w:sz w:val="19"/>
              </w:rPr>
              <w:t>Android permission state used by protection</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Freshness, integrity of interpretation</w:t>
            </w:r>
          </w:p>
        </w:tc>
        <w:tc>
          <w:tcPr>
            <w:tcW w:type="dxa" w:w="2412"/>
            <w:vAlign w:val="top"/>
            <w:tcW w:type="dxa" w:w="2310"/>
          </w:tcPr>
          <w:p>
            <w:pPr>
              <w:spacing w:before="20" w:after="40"/>
            </w:pPr>
            <w:r>
              <w:rPr>
                <w:rFonts w:ascii="Times New Roman" w:hAnsi="Times New Roman"/>
                <w:sz w:val="19"/>
              </w:rPr>
              <w:t>A revoked or unavailable capability may go unnoticed</w:t>
            </w:r>
          </w:p>
        </w:tc>
      </w:tr>
      <w:tr>
        <w:trPr>
          <w:cantSplit/>
        </w:trPr>
        <w:tc>
          <w:tcPr>
            <w:tcW w:type="dxa" w:w="2412"/>
            <w:vAlign w:val="top"/>
            <w:tcW w:type="dxa" w:w="2310"/>
          </w:tcPr>
          <w:p>
            <w:pPr>
              <w:spacing w:before="20" w:after="40"/>
            </w:pPr>
            <w:r>
              <w:rPr>
                <w:rFonts w:ascii="Times New Roman" w:hAnsi="Times New Roman"/>
                <w:sz w:val="19"/>
              </w:rPr>
              <w:t>Cryptographic keys and database secret</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Confidentiality, integrity, separation of purpose</w:t>
            </w:r>
          </w:p>
        </w:tc>
        <w:tc>
          <w:tcPr>
            <w:tcW w:type="dxa" w:w="2412"/>
            <w:vAlign w:val="top"/>
            <w:tcW w:type="dxa" w:w="2310"/>
          </w:tcPr>
          <w:p>
            <w:pPr>
              <w:spacing w:before="20" w:after="40"/>
            </w:pPr>
            <w:r>
              <w:rPr>
                <w:rFonts w:ascii="Times New Roman" w:hAnsi="Times New Roman"/>
                <w:sz w:val="19"/>
              </w:rPr>
              <w:t>Protected local information may become readable or alterable</w:t>
            </w:r>
          </w:p>
        </w:tc>
      </w:tr>
      <w:tr>
        <w:trPr>
          <w:cantSplit/>
        </w:trPr>
        <w:tc>
          <w:tcPr>
            <w:tcW w:type="dxa" w:w="2412"/>
            <w:vAlign w:val="top"/>
            <w:tcW w:type="dxa" w:w="2310"/>
          </w:tcPr>
          <w:p>
            <w:pPr>
              <w:spacing w:before="20" w:after="40"/>
            </w:pPr>
            <w:r>
              <w:rPr>
                <w:rFonts w:ascii="Times New Roman" w:hAnsi="Times New Roman"/>
                <w:sz w:val="19"/>
              </w:rPr>
              <w:t>Encrypted configuration database and migration state</w:t>
            </w:r>
          </w:p>
        </w:tc>
        <w:tc>
          <w:tcPr>
            <w:tcW w:type="dxa" w:w="2412"/>
            <w:vAlign w:val="top"/>
            <w:tcW w:type="dxa" w:w="2310"/>
          </w:tcPr>
          <w:p>
            <w:pPr>
              <w:spacing w:before="20" w:after="40"/>
            </w:pPr>
            <w:r>
              <w:rPr>
                <w:rFonts w:ascii="Times New Roman" w:hAnsi="Times New Roman"/>
                <w:sz w:val="19"/>
              </w:rPr>
              <w:t>Critical</w:t>
            </w:r>
          </w:p>
        </w:tc>
        <w:tc>
          <w:tcPr>
            <w:tcW w:type="dxa" w:w="2412"/>
            <w:vAlign w:val="top"/>
            <w:tcW w:type="dxa" w:w="2310"/>
          </w:tcPr>
          <w:p>
            <w:pPr>
              <w:spacing w:before="20" w:after="40"/>
            </w:pPr>
            <w:r>
              <w:rPr>
                <w:rFonts w:ascii="Times New Roman" w:hAnsi="Times New Roman"/>
                <w:sz w:val="19"/>
              </w:rPr>
              <w:t>Confidentiality, integrity, consistency, availability</w:t>
            </w:r>
          </w:p>
        </w:tc>
        <w:tc>
          <w:tcPr>
            <w:tcW w:type="dxa" w:w="2412"/>
            <w:vAlign w:val="top"/>
            <w:tcW w:type="dxa" w:w="2310"/>
          </w:tcPr>
          <w:p>
            <w:pPr>
              <w:spacing w:before="20" w:after="40"/>
            </w:pPr>
            <w:r>
              <w:rPr>
                <w:rFonts w:ascii="Times New Roman" w:hAnsi="Times New Roman"/>
                <w:sz w:val="19"/>
              </w:rPr>
              <w:t>Protection settings may be exposed, lost, or replaced with permissive state</w:t>
            </w:r>
          </w:p>
        </w:tc>
      </w:tr>
      <w:tr>
        <w:trPr>
          <w:cantSplit/>
        </w:trPr>
        <w:tc>
          <w:tcPr>
            <w:tcW w:type="dxa" w:w="2412"/>
            <w:vAlign w:val="top"/>
            <w:tcW w:type="dxa" w:w="2310"/>
          </w:tcPr>
          <w:p>
            <w:pPr>
              <w:spacing w:before="20" w:after="40"/>
            </w:pPr>
            <w:r>
              <w:rPr>
                <w:rFonts w:ascii="Times New Roman" w:hAnsi="Times New Roman"/>
                <w:sz w:val="19"/>
              </w:rPr>
              <w:t>Essential notification content</w:t>
            </w:r>
          </w:p>
        </w:tc>
        <w:tc>
          <w:tcPr>
            <w:tcW w:type="dxa" w:w="2412"/>
            <w:vAlign w:val="top"/>
            <w:tcW w:type="dxa" w:w="2310"/>
          </w:tcPr>
          <w:p>
            <w:pPr>
              <w:spacing w:before="20" w:after="40"/>
            </w:pPr>
            <w:r>
              <w:rPr>
                <w:rFonts w:ascii="Times New Roman" w:hAnsi="Times New Roman"/>
                <w:sz w:val="19"/>
              </w:rPr>
              <w:t>High</w:t>
            </w:r>
          </w:p>
        </w:tc>
        <w:tc>
          <w:tcPr>
            <w:tcW w:type="dxa" w:w="2412"/>
            <w:vAlign w:val="top"/>
            <w:tcW w:type="dxa" w:w="2310"/>
          </w:tcPr>
          <w:p>
            <w:pPr>
              <w:spacing w:before="20" w:after="40"/>
            </w:pPr>
            <w:r>
              <w:rPr>
                <w:rFonts w:ascii="Times New Roman" w:hAnsi="Times New Roman"/>
                <w:sz w:val="19"/>
              </w:rPr>
              <w:t>Privacy, accuracy, minimal disclosure</w:t>
            </w:r>
          </w:p>
        </w:tc>
        <w:tc>
          <w:tcPr>
            <w:tcW w:type="dxa" w:w="2412"/>
            <w:vAlign w:val="top"/>
            <w:tcW w:type="dxa" w:w="2310"/>
          </w:tcPr>
          <w:p>
            <w:pPr>
              <w:spacing w:before="20" w:after="40"/>
            </w:pPr>
            <w:r>
              <w:rPr>
                <w:rFonts w:ascii="Times New Roman" w:hAnsi="Times New Roman"/>
                <w:sz w:val="19"/>
              </w:rPr>
              <w:t>Another person may learn protected-application or security-state details</w:t>
            </w:r>
          </w:p>
        </w:tc>
      </w:tr>
      <w:tr>
        <w:trPr>
          <w:cantSplit/>
        </w:trPr>
        <w:tc>
          <w:tcPr>
            <w:tcW w:type="dxa" w:w="2412"/>
            <w:vAlign w:val="top"/>
            <w:tcW w:type="dxa" w:w="2310"/>
          </w:tcPr>
          <w:p>
            <w:pPr>
              <w:spacing w:before="20" w:after="40"/>
            </w:pPr>
            <w:r>
              <w:rPr>
                <w:rFonts w:ascii="Times New Roman" w:hAnsi="Times New Roman"/>
                <w:sz w:val="19"/>
              </w:rPr>
              <w:t>Bounded local diagnostic records</w:t>
            </w:r>
          </w:p>
        </w:tc>
        <w:tc>
          <w:tcPr>
            <w:tcW w:type="dxa" w:w="2412"/>
            <w:vAlign w:val="top"/>
            <w:tcW w:type="dxa" w:w="2310"/>
          </w:tcPr>
          <w:p>
            <w:pPr>
              <w:spacing w:before="20" w:after="40"/>
            </w:pPr>
            <w:r>
              <w:rPr>
                <w:rFonts w:ascii="Times New Roman" w:hAnsi="Times New Roman"/>
                <w:sz w:val="19"/>
              </w:rPr>
              <w:t>High</w:t>
            </w:r>
          </w:p>
        </w:tc>
        <w:tc>
          <w:tcPr>
            <w:tcW w:type="dxa" w:w="2412"/>
            <w:vAlign w:val="top"/>
            <w:tcW w:type="dxa" w:w="2310"/>
          </w:tcPr>
          <w:p>
            <w:pPr>
              <w:spacing w:before="20" w:after="40"/>
            </w:pPr>
            <w:r>
              <w:rPr>
                <w:rFonts w:ascii="Times New Roman" w:hAnsi="Times New Roman"/>
                <w:sz w:val="19"/>
              </w:rPr>
              <w:t>Privacy, integrity, limited retention</w:t>
            </w:r>
          </w:p>
        </w:tc>
        <w:tc>
          <w:tcPr>
            <w:tcW w:type="dxa" w:w="2412"/>
            <w:vAlign w:val="top"/>
            <w:tcW w:type="dxa" w:w="2310"/>
          </w:tcPr>
          <w:p>
            <w:pPr>
              <w:spacing w:before="20" w:after="40"/>
            </w:pPr>
            <w:r>
              <w:rPr>
                <w:rFonts w:ascii="Times New Roman" w:hAnsi="Times New Roman"/>
                <w:sz w:val="19"/>
              </w:rPr>
              <w:t>Credentials, protected selections, or misleading health information may be exposed</w:t>
            </w:r>
          </w:p>
        </w:tc>
      </w:tr>
      <w:tr>
        <w:trPr>
          <w:cantSplit/>
        </w:trPr>
        <w:tc>
          <w:tcPr>
            <w:tcW w:type="dxa" w:w="2412"/>
            <w:vAlign w:val="top"/>
            <w:tcW w:type="dxa" w:w="2310"/>
          </w:tcPr>
          <w:p>
            <w:pPr>
              <w:spacing w:before="20" w:after="40"/>
            </w:pPr>
            <w:r>
              <w:rPr>
                <w:rFonts w:ascii="Times New Roman" w:hAnsi="Times New Roman"/>
                <w:sz w:val="19"/>
              </w:rPr>
              <w:t>Production package and release configuration</w:t>
            </w:r>
          </w:p>
        </w:tc>
        <w:tc>
          <w:tcPr>
            <w:tcW w:type="dxa" w:w="2412"/>
            <w:vAlign w:val="top"/>
            <w:tcW w:type="dxa" w:w="2310"/>
          </w:tcPr>
          <w:p>
            <w:pPr>
              <w:spacing w:before="20" w:after="40"/>
            </w:pPr>
            <w:r>
              <w:rPr>
                <w:rFonts w:ascii="Times New Roman" w:hAnsi="Times New Roman"/>
                <w:sz w:val="19"/>
              </w:rPr>
              <w:t>High</w:t>
            </w:r>
          </w:p>
        </w:tc>
        <w:tc>
          <w:tcPr>
            <w:tcW w:type="dxa" w:w="2412"/>
            <w:vAlign w:val="top"/>
            <w:tcW w:type="dxa" w:w="2310"/>
          </w:tcPr>
          <w:p>
            <w:pPr>
              <w:spacing w:before="20" w:after="40"/>
            </w:pPr>
            <w:r>
              <w:rPr>
                <w:rFonts w:ascii="Times New Roman" w:hAnsi="Times New Roman"/>
                <w:sz w:val="19"/>
              </w:rPr>
              <w:t>Integrity, absence of debugging weakness</w:t>
            </w:r>
          </w:p>
        </w:tc>
        <w:tc>
          <w:tcPr>
            <w:tcW w:type="dxa" w:w="2412"/>
            <w:vAlign w:val="top"/>
            <w:tcW w:type="dxa" w:w="2310"/>
          </w:tcPr>
          <w:p>
            <w:pPr>
              <w:spacing w:before="20" w:after="40"/>
            </w:pPr>
            <w:r>
              <w:rPr>
                <w:rFonts w:ascii="Times New Roman" w:hAnsi="Times New Roman"/>
                <w:sz w:val="19"/>
              </w:rPr>
              <w:t>Runtime inspection or modification may become easier than the stated boundary allows</w:t>
            </w:r>
          </w:p>
        </w:tc>
      </w:tr>
    </w:tbl>
    <w:p>
      <w:pPr>
        <w:jc w:val="left"/>
      </w:pPr>
      <w:r>
        <w:t>Vault files, intruder media, backup archives, recovery secrets, profiles, schedules, automation rules, remote account data, and third-party notification content are not Version 1.0.0 assets because the corresponding capabilities are absent.</w:t>
      </w:r>
    </w:p>
    <w:p>
      <w:pPr>
        <w:pStyle w:val="Heading2"/>
        <w:jc w:val="left"/>
      </w:pPr>
      <w:r>
        <w:t>2.2 Security Properties</w:t>
      </w:r>
    </w:p>
    <w:p>
      <w:pPr>
        <w:pStyle w:val="Heading3"/>
        <w:jc w:val="left"/>
      </w:pPr>
      <w:r>
        <w:t>2.2.1 Authentication</w:t>
      </w:r>
    </w:p>
    <w:p>
      <w:pPr>
        <w:jc w:val="left"/>
      </w:pPr>
      <w:r>
        <w:t>Authentication establishes that the person interacting with App Lock supplied the correct PIN or completed an eligible Android biometric prompt for the active request. Device unlock, application launch, possession of the phone, navigation to an App Lock screen, or knowledge of a protected application shall not constitute App Lock authentication.</w:t>
      </w:r>
    </w:p>
    <w:p>
      <w:pPr>
        <w:pStyle w:val="Heading3"/>
        <w:jc w:val="left"/>
      </w:pPr>
      <w:r>
        <w:t>2.2.2 Authorization</w:t>
      </w:r>
    </w:p>
    <w:p>
      <w:pPr>
        <w:jc w:val="left"/>
      </w:pPr>
      <w:r>
        <w:t>Authorization permits access to a protected application only while that application's session remains valid under the selected global relock policy. A session shall not exist before authentication, shall not be reconstructed from a user-interface state, shall not authorize a different protected application, and shall not survive a security boundary that requires reauthentication.</w:t>
      </w:r>
    </w:p>
    <w:p>
      <w:pPr>
        <w:pStyle w:val="Heading3"/>
        <w:jc w:val="left"/>
      </w:pPr>
      <w:r>
        <w:t>2.2.3 Confidentiality</w:t>
      </w:r>
    </w:p>
    <w:p>
      <w:pPr>
        <w:jc w:val="left"/>
      </w:pPr>
      <w:r>
        <w:t>Credentials, database keys, protected-application selections, and security-sensitive settings shall receive protection appropriate to their sensitivity. App Lock shall minimize visible information in notifications, recent-app previews, errors, and diagnostics.</w:t>
      </w:r>
    </w:p>
    <w:p>
      <w:pPr>
        <w:pStyle w:val="Heading3"/>
        <w:jc w:val="left"/>
      </w:pPr>
      <w:r>
        <w:t>2.2.4 Integrity</w:t>
      </w:r>
    </w:p>
    <w:p>
      <w:pPr>
        <w:jc w:val="left"/>
      </w:pPr>
      <w:r>
        <w:t>An unauthenticated path shall not change the PIN, protected-application selection, relock policy, biometric setting, required-capability interpretation, or authorization state. Invalid stored values shall be rejected or replaced only through a controlled safe path.</w:t>
      </w:r>
    </w:p>
    <w:p>
      <w:pPr>
        <w:pStyle w:val="Heading3"/>
        <w:jc w:val="left"/>
      </w:pPr>
      <w:r>
        <w:t>2.2.5 Availability</w:t>
      </w:r>
    </w:p>
    <w:p>
      <w:pPr>
        <w:jc w:val="left"/>
      </w:pPr>
      <w:r>
        <w:t>The foreground detection, lock presentation, session evaluation, and health-reporting paths shall remain available when Android permits them to operate. Where Android prevents continued operation, the application shall not claim availability it cannot establish.</w:t>
      </w:r>
    </w:p>
    <w:p>
      <w:pPr>
        <w:pStyle w:val="Heading3"/>
        <w:jc w:val="left"/>
      </w:pPr>
      <w:r>
        <w:t>2.2.6 Truthful Status</w:t>
      </w:r>
    </w:p>
    <w:p>
      <w:pPr>
        <w:jc w:val="left"/>
      </w:pPr>
      <w:r>
        <w:t>Protection status is a security property. A missing permission, known presentation failure, failed integrity check, or unverified health condition shall not be displayed as normal protected operation.</w:t>
      </w:r>
    </w:p>
    <w:p>
      <w:pPr>
        <w:pStyle w:val="Heading3"/>
        <w:jc w:val="left"/>
      </w:pPr>
      <w:r>
        <w:t>2.2.7 Privacy</w:t>
      </w:r>
    </w:p>
    <w:p>
      <w:pPr>
        <w:jc w:val="left"/>
      </w:pPr>
      <w:r>
        <w:t>The application shall collect and retain only the local information needed for the included functions. It shall not create a broader history, media collection, network record, or exportable diagnostic package.</w:t>
      </w:r>
    </w:p>
    <w:p>
      <w:pPr>
        <w:pStyle w:val="Heading2"/>
        <w:jc w:val="left"/>
      </w:pPr>
      <w:r>
        <w:t>2.3 Trust Boundaries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Boundary</w:t>
            </w:r>
          </w:p>
        </w:tc>
        <w:tc>
          <w:tcPr>
            <w:tcW w:type="dxa" w:w="3216"/>
            <w:vAlign w:val="center"/>
            <w:shd w:fill="D9E1F2"/>
            <w:tcW w:type="dxa" w:w="3080"/>
          </w:tcPr>
          <w:p>
            <w:pPr>
              <w:spacing w:after="40"/>
            </w:pPr>
            <w:r>
              <w:rPr>
                <w:rFonts w:ascii="Times New Roman" w:hAnsi="Times New Roman"/>
                <w:b/>
                <w:sz w:val="19"/>
              </w:rPr>
              <w:t>Reliance</w:t>
            </w:r>
          </w:p>
        </w:tc>
        <w:tc>
          <w:tcPr>
            <w:tcW w:type="dxa" w:w="3216"/>
            <w:vAlign w:val="center"/>
            <w:shd w:fill="D9E1F2"/>
            <w:tcW w:type="dxa" w:w="3080"/>
          </w:tcPr>
          <w:p>
            <w:pPr>
              <w:spacing w:after="40"/>
            </w:pPr>
            <w:r>
              <w:rPr>
                <w:rFonts w:ascii="Times New Roman" w:hAnsi="Times New Roman"/>
                <w:b/>
                <w:sz w:val="19"/>
              </w:rPr>
              <w:t>Required treatment</w:t>
            </w:r>
          </w:p>
        </w:tc>
      </w:tr>
      <w:tr>
        <w:trPr>
          <w:cantSplit/>
        </w:trPr>
        <w:tc>
          <w:tcPr>
            <w:tcW w:type="dxa" w:w="3216"/>
            <w:vAlign w:val="top"/>
            <w:tcW w:type="dxa" w:w="3080"/>
          </w:tcPr>
          <w:p>
            <w:pPr>
              <w:spacing w:before="20" w:after="40"/>
            </w:pPr>
            <w:r>
              <w:rPr>
                <w:rFonts w:ascii="Times New Roman" w:hAnsi="Times New Roman"/>
                <w:sz w:val="19"/>
              </w:rPr>
              <w:t>Android operating system</w:t>
            </w:r>
          </w:p>
        </w:tc>
        <w:tc>
          <w:tcPr>
            <w:tcW w:type="dxa" w:w="3216"/>
            <w:vAlign w:val="top"/>
            <w:tcW w:type="dxa" w:w="3080"/>
          </w:tcPr>
          <w:p>
            <w:pPr>
              <w:spacing w:before="20" w:after="40"/>
            </w:pPr>
            <w:r>
              <w:rPr>
                <w:rFonts w:ascii="Times New Roman" w:hAnsi="Times New Roman"/>
                <w:sz w:val="19"/>
              </w:rPr>
              <w:t>Process isolation, package identity, permission enforcement, lifecycle delivery, notification behavior, and window behavior</w:t>
            </w:r>
          </w:p>
        </w:tc>
        <w:tc>
          <w:tcPr>
            <w:tcW w:type="dxa" w:w="3216"/>
            <w:vAlign w:val="top"/>
            <w:tcW w:type="dxa" w:w="3080"/>
          </w:tcPr>
          <w:p>
            <w:pPr>
              <w:spacing w:before="20" w:after="40"/>
            </w:pPr>
            <w:r>
              <w:rPr>
                <w:rFonts w:ascii="Times New Roman" w:hAnsi="Times New Roman"/>
                <w:sz w:val="19"/>
              </w:rPr>
              <w:t>Treat platform results as authoritative only within the documented Android model; disclose platform-dependent limits</w:t>
            </w:r>
          </w:p>
        </w:tc>
      </w:tr>
      <w:tr>
        <w:trPr>
          <w:cantSplit/>
        </w:trPr>
        <w:tc>
          <w:tcPr>
            <w:tcW w:type="dxa" w:w="3216"/>
            <w:vAlign w:val="top"/>
            <w:tcW w:type="dxa" w:w="3080"/>
          </w:tcPr>
          <w:p>
            <w:pPr>
              <w:spacing w:before="20" w:after="40"/>
            </w:pPr>
            <w:r>
              <w:rPr>
                <w:rFonts w:ascii="Times New Roman" w:hAnsi="Times New Roman"/>
                <w:sz w:val="19"/>
              </w:rPr>
              <w:t>Android Keystore</w:t>
            </w:r>
          </w:p>
        </w:tc>
        <w:tc>
          <w:tcPr>
            <w:tcW w:type="dxa" w:w="3216"/>
            <w:vAlign w:val="top"/>
            <w:tcW w:type="dxa" w:w="3080"/>
          </w:tcPr>
          <w:p>
            <w:pPr>
              <w:spacing w:before="20" w:after="40"/>
            </w:pPr>
            <w:r>
              <w:rPr>
                <w:rFonts w:ascii="Times New Roman" w:hAnsi="Times New Roman"/>
                <w:sz w:val="19"/>
              </w:rPr>
              <w:t>Protection of non-exportable application key material</w:t>
            </w:r>
          </w:p>
        </w:tc>
        <w:tc>
          <w:tcPr>
            <w:tcW w:type="dxa" w:w="3216"/>
            <w:vAlign w:val="top"/>
            <w:tcW w:type="dxa" w:w="3080"/>
          </w:tcPr>
          <w:p>
            <w:pPr>
              <w:spacing w:before="20" w:after="40"/>
            </w:pPr>
            <w:r>
              <w:rPr>
                <w:rFonts w:ascii="Times New Roman" w:hAnsi="Times New Roman"/>
                <w:sz w:val="19"/>
              </w:rPr>
              <w:t>Store no substitute plaintext key; fail safely if protected material becomes unavailable</w:t>
            </w:r>
          </w:p>
        </w:tc>
      </w:tr>
      <w:tr>
        <w:trPr>
          <w:cantSplit/>
        </w:trPr>
        <w:tc>
          <w:tcPr>
            <w:tcW w:type="dxa" w:w="3216"/>
            <w:vAlign w:val="top"/>
            <w:tcW w:type="dxa" w:w="3080"/>
          </w:tcPr>
          <w:p>
            <w:pPr>
              <w:spacing w:before="20" w:after="40"/>
            </w:pPr>
            <w:r>
              <w:rPr>
                <w:rFonts w:ascii="Times New Roman" w:hAnsi="Times New Roman"/>
                <w:sz w:val="19"/>
              </w:rPr>
              <w:t>Application sandbox</w:t>
            </w:r>
          </w:p>
        </w:tc>
        <w:tc>
          <w:tcPr>
            <w:tcW w:type="dxa" w:w="3216"/>
            <w:vAlign w:val="top"/>
            <w:tcW w:type="dxa" w:w="3080"/>
          </w:tcPr>
          <w:p>
            <w:pPr>
              <w:spacing w:before="20" w:after="40"/>
            </w:pPr>
            <w:r>
              <w:rPr>
                <w:rFonts w:ascii="Times New Roman" w:hAnsi="Times New Roman"/>
                <w:sz w:val="19"/>
              </w:rPr>
              <w:t>Isolation of application-private files from ordinary applications</w:t>
            </w:r>
          </w:p>
        </w:tc>
        <w:tc>
          <w:tcPr>
            <w:tcW w:type="dxa" w:w="3216"/>
            <w:vAlign w:val="top"/>
            <w:tcW w:type="dxa" w:w="3080"/>
          </w:tcPr>
          <w:p>
            <w:pPr>
              <w:spacing w:before="20" w:after="40"/>
            </w:pPr>
            <w:r>
              <w:rPr>
                <w:rFonts w:ascii="Times New Roman" w:hAnsi="Times New Roman"/>
                <w:sz w:val="19"/>
              </w:rPr>
              <w:t>Keep credentials, database files, settings, and diagnostics in private storage</w:t>
            </w:r>
          </w:p>
        </w:tc>
      </w:tr>
      <w:tr>
        <w:trPr>
          <w:cantSplit/>
        </w:trPr>
        <w:tc>
          <w:tcPr>
            <w:tcW w:type="dxa" w:w="3216"/>
            <w:vAlign w:val="top"/>
            <w:tcW w:type="dxa" w:w="3080"/>
          </w:tcPr>
          <w:p>
            <w:pPr>
              <w:spacing w:before="20" w:after="40"/>
            </w:pPr>
            <w:r>
              <w:rPr>
                <w:rFonts w:ascii="Times New Roman" w:hAnsi="Times New Roman"/>
                <w:sz w:val="19"/>
              </w:rPr>
              <w:t>App Lock credential</w:t>
            </w:r>
          </w:p>
        </w:tc>
        <w:tc>
          <w:tcPr>
            <w:tcW w:type="dxa" w:w="3216"/>
            <w:vAlign w:val="top"/>
            <w:tcW w:type="dxa" w:w="3080"/>
          </w:tcPr>
          <w:p>
            <w:pPr>
              <w:spacing w:before="20" w:after="40"/>
            </w:pPr>
            <w:r>
              <w:rPr>
                <w:rFonts w:ascii="Times New Roman" w:hAnsi="Times New Roman"/>
                <w:sz w:val="19"/>
              </w:rPr>
              <w:t>Knowledge of the valid PIN represents owner authority</w:t>
            </w:r>
          </w:p>
        </w:tc>
        <w:tc>
          <w:tcPr>
            <w:tcW w:type="dxa" w:w="3216"/>
            <w:vAlign w:val="top"/>
            <w:tcW w:type="dxa" w:w="3080"/>
          </w:tcPr>
          <w:p>
            <w:pPr>
              <w:spacing w:before="20" w:after="40"/>
            </w:pPr>
            <w:r>
              <w:rPr>
                <w:rFonts w:ascii="Times New Roman" w:hAnsi="Times New Roman"/>
                <w:sz w:val="19"/>
              </w:rPr>
              <w:t>Keep the PIN separate from encryption keys and require it for credential and protection-reducing changes</w:t>
            </w:r>
          </w:p>
        </w:tc>
      </w:tr>
      <w:tr>
        <w:trPr>
          <w:cantSplit/>
        </w:trPr>
        <w:tc>
          <w:tcPr>
            <w:tcW w:type="dxa" w:w="3216"/>
            <w:vAlign w:val="top"/>
            <w:tcW w:type="dxa" w:w="3080"/>
          </w:tcPr>
          <w:p>
            <w:pPr>
              <w:spacing w:before="20" w:after="40"/>
            </w:pPr>
            <w:r>
              <w:rPr>
                <w:rFonts w:ascii="Times New Roman" w:hAnsi="Times New Roman"/>
                <w:sz w:val="19"/>
              </w:rPr>
              <w:t>Android biometric prompt</w:t>
            </w:r>
          </w:p>
        </w:tc>
        <w:tc>
          <w:tcPr>
            <w:tcW w:type="dxa" w:w="3216"/>
            <w:vAlign w:val="top"/>
            <w:tcW w:type="dxa" w:w="3080"/>
          </w:tcPr>
          <w:p>
            <w:pPr>
              <w:spacing w:before="20" w:after="40"/>
            </w:pPr>
            <w:r>
              <w:rPr>
                <w:rFonts w:ascii="Times New Roman" w:hAnsi="Times New Roman"/>
                <w:sz w:val="19"/>
              </w:rPr>
              <w:t>Eligibility, user interaction, and biometric result</w:t>
            </w:r>
          </w:p>
        </w:tc>
        <w:tc>
          <w:tcPr>
            <w:tcW w:type="dxa" w:w="3216"/>
            <w:vAlign w:val="top"/>
            <w:tcW w:type="dxa" w:w="3080"/>
          </w:tcPr>
          <w:p>
            <w:pPr>
              <w:spacing w:before="20" w:after="40"/>
            </w:pPr>
            <w:r>
              <w:rPr>
                <w:rFonts w:ascii="Times New Roman" w:hAnsi="Times New Roman"/>
                <w:sz w:val="19"/>
              </w:rPr>
              <w:t>Accept only an active successful result; use PIN for fallback and credential administration</w:t>
            </w:r>
          </w:p>
        </w:tc>
      </w:tr>
      <w:tr>
        <w:trPr>
          <w:cantSplit/>
        </w:trPr>
        <w:tc>
          <w:tcPr>
            <w:tcW w:type="dxa" w:w="3216"/>
            <w:vAlign w:val="top"/>
            <w:tcW w:type="dxa" w:w="3080"/>
          </w:tcPr>
          <w:p>
            <w:pPr>
              <w:spacing w:before="20" w:after="40"/>
            </w:pPr>
            <w:r>
              <w:rPr>
                <w:rFonts w:ascii="Times New Roman" w:hAnsi="Times New Roman"/>
                <w:sz w:val="19"/>
              </w:rPr>
              <w:t>Android Usage Access</w:t>
            </w:r>
          </w:p>
        </w:tc>
        <w:tc>
          <w:tcPr>
            <w:tcW w:type="dxa" w:w="3216"/>
            <w:vAlign w:val="top"/>
            <w:tcW w:type="dxa" w:w="3080"/>
          </w:tcPr>
          <w:p>
            <w:pPr>
              <w:spacing w:before="20" w:after="40"/>
            </w:pPr>
            <w:r>
              <w:rPr>
                <w:rFonts w:ascii="Times New Roman" w:hAnsi="Times New Roman"/>
                <w:sz w:val="19"/>
              </w:rPr>
              <w:t>Foreground-application information</w:t>
            </w:r>
          </w:p>
        </w:tc>
        <w:tc>
          <w:tcPr>
            <w:tcW w:type="dxa" w:w="3216"/>
            <w:vAlign w:val="top"/>
            <w:tcW w:type="dxa" w:w="3080"/>
          </w:tcPr>
          <w:p>
            <w:pPr>
              <w:spacing w:before="20" w:after="40"/>
            </w:pPr>
            <w:r>
              <w:rPr>
                <w:rFonts w:ascii="Times New Roman" w:hAnsi="Times New Roman"/>
                <w:sz w:val="19"/>
              </w:rPr>
              <w:t>Treat it as required but platform-dependent; detect denial or revocation and report the resulting protection state</w:t>
            </w:r>
          </w:p>
        </w:tc>
      </w:tr>
      <w:tr>
        <w:trPr>
          <w:cantSplit/>
        </w:trPr>
        <w:tc>
          <w:tcPr>
            <w:tcW w:type="dxa" w:w="3216"/>
            <w:vAlign w:val="top"/>
            <w:tcW w:type="dxa" w:w="3080"/>
          </w:tcPr>
          <w:p>
            <w:pPr>
              <w:spacing w:before="20" w:after="40"/>
            </w:pPr>
            <w:r>
              <w:rPr>
                <w:rFonts w:ascii="Times New Roman" w:hAnsi="Times New Roman"/>
                <w:sz w:val="19"/>
              </w:rPr>
              <w:t>Lock-presentation capability</w:t>
            </w:r>
          </w:p>
        </w:tc>
        <w:tc>
          <w:tcPr>
            <w:tcW w:type="dxa" w:w="3216"/>
            <w:vAlign w:val="top"/>
            <w:tcW w:type="dxa" w:w="3080"/>
          </w:tcPr>
          <w:p>
            <w:pPr>
              <w:spacing w:before="20" w:after="40"/>
            </w:pPr>
            <w:r>
              <w:rPr>
                <w:rFonts w:ascii="Times New Roman" w:hAnsi="Times New Roman"/>
                <w:sz w:val="19"/>
              </w:rPr>
              <w:t>Android-controlled ability to place the lock interface before usable protected content</w:t>
            </w:r>
          </w:p>
        </w:tc>
        <w:tc>
          <w:tcPr>
            <w:tcW w:type="dxa" w:w="3216"/>
            <w:vAlign w:val="top"/>
            <w:tcW w:type="dxa" w:w="3080"/>
          </w:tcPr>
          <w:p>
            <w:pPr>
              <w:spacing w:before="20" w:after="40"/>
            </w:pPr>
            <w:r>
              <w:rPr>
                <w:rFonts w:ascii="Times New Roman" w:hAnsi="Times New Roman"/>
                <w:sz w:val="19"/>
              </w:rPr>
              <w:t>Verify availability and do not describe protection as healthy when it is unavailable</w:t>
            </w:r>
          </w:p>
        </w:tc>
      </w:tr>
      <w:tr>
        <w:trPr>
          <w:cantSplit/>
        </w:trPr>
        <w:tc>
          <w:tcPr>
            <w:tcW w:type="dxa" w:w="3216"/>
            <w:vAlign w:val="top"/>
            <w:tcW w:type="dxa" w:w="3080"/>
          </w:tcPr>
          <w:p>
            <w:pPr>
              <w:spacing w:before="20" w:after="40"/>
            </w:pPr>
            <w:r>
              <w:rPr>
                <w:rFonts w:ascii="Times New Roman" w:hAnsi="Times New Roman"/>
                <w:sz w:val="19"/>
              </w:rPr>
              <w:t>Android lifecycle and power management</w:t>
            </w:r>
          </w:p>
        </w:tc>
        <w:tc>
          <w:tcPr>
            <w:tcW w:type="dxa" w:w="3216"/>
            <w:vAlign w:val="top"/>
            <w:tcW w:type="dxa" w:w="3080"/>
          </w:tcPr>
          <w:p>
            <w:pPr>
              <w:spacing w:before="20" w:after="40"/>
            </w:pPr>
            <w:r>
              <w:rPr>
                <w:rFonts w:ascii="Times New Roman" w:hAnsi="Times New Roman"/>
                <w:sz w:val="19"/>
              </w:rPr>
              <w:t>Process start, process death, boot delivery, and background execution</w:t>
            </w:r>
          </w:p>
        </w:tc>
        <w:tc>
          <w:tcPr>
            <w:tcW w:type="dxa" w:w="3216"/>
            <w:vAlign w:val="top"/>
            <w:tcW w:type="dxa" w:w="3080"/>
          </w:tcPr>
          <w:p>
            <w:pPr>
              <w:spacing w:before="20" w:after="40"/>
            </w:pPr>
            <w:r>
              <w:rPr>
                <w:rFonts w:ascii="Times New Roman" w:hAnsi="Times New Roman"/>
                <w:sz w:val="19"/>
              </w:rPr>
              <w:t>Clear authorization after lifecycle loss and identify conditions Android prevents the application from correcting</w:t>
            </w:r>
          </w:p>
        </w:tc>
      </w:tr>
      <w:tr>
        <w:trPr>
          <w:cantSplit/>
        </w:trPr>
        <w:tc>
          <w:tcPr>
            <w:tcW w:type="dxa" w:w="3216"/>
            <w:vAlign w:val="top"/>
            <w:tcW w:type="dxa" w:w="3080"/>
          </w:tcPr>
          <w:p>
            <w:pPr>
              <w:spacing w:before="20" w:after="40"/>
            </w:pPr>
            <w:r>
              <w:rPr>
                <w:rFonts w:ascii="Times New Roman" w:hAnsi="Times New Roman"/>
                <w:sz w:val="19"/>
              </w:rPr>
              <w:t>Storage and migration</w:t>
            </w:r>
          </w:p>
        </w:tc>
        <w:tc>
          <w:tcPr>
            <w:tcW w:type="dxa" w:w="3216"/>
            <w:vAlign w:val="top"/>
            <w:tcW w:type="dxa" w:w="3080"/>
          </w:tcPr>
          <w:p>
            <w:pPr>
              <w:spacing w:before="20" w:after="40"/>
            </w:pPr>
            <w:r>
              <w:rPr>
                <w:rFonts w:ascii="Times New Roman" w:hAnsi="Times New Roman"/>
                <w:sz w:val="19"/>
              </w:rPr>
              <w:t>Database reads, writes, integrity, schema change, and recovery</w:t>
            </w:r>
          </w:p>
        </w:tc>
        <w:tc>
          <w:tcPr>
            <w:tcW w:type="dxa" w:w="3216"/>
            <w:vAlign w:val="top"/>
            <w:tcW w:type="dxa" w:w="3080"/>
          </w:tcPr>
          <w:p>
            <w:pPr>
              <w:spacing w:before="20" w:after="40"/>
            </w:pPr>
            <w:r>
              <w:rPr>
                <w:rFonts w:ascii="Times New Roman" w:hAnsi="Times New Roman"/>
                <w:sz w:val="19"/>
              </w:rPr>
              <w:t>Reject incomplete or corrupt security state; do not silently create permissive defaults</w:t>
            </w:r>
          </w:p>
        </w:tc>
      </w:tr>
      <w:tr>
        <w:trPr>
          <w:cantSplit/>
        </w:trPr>
        <w:tc>
          <w:tcPr>
            <w:tcW w:type="dxa" w:w="3216"/>
            <w:vAlign w:val="top"/>
            <w:tcW w:type="dxa" w:w="3080"/>
          </w:tcPr>
          <w:p>
            <w:pPr>
              <w:spacing w:before="20" w:after="40"/>
            </w:pPr>
            <w:r>
              <w:rPr>
                <w:rFonts w:ascii="Times New Roman" w:hAnsi="Times New Roman"/>
                <w:sz w:val="19"/>
              </w:rPr>
              <w:t>Physical access</w:t>
            </w:r>
          </w:p>
        </w:tc>
        <w:tc>
          <w:tcPr>
            <w:tcW w:type="dxa" w:w="3216"/>
            <w:vAlign w:val="top"/>
            <w:tcW w:type="dxa" w:w="3080"/>
          </w:tcPr>
          <w:p>
            <w:pPr>
              <w:spacing w:before="20" w:after="40"/>
            </w:pPr>
            <w:r>
              <w:rPr>
                <w:rFonts w:ascii="Times New Roman" w:hAnsi="Times New Roman"/>
                <w:sz w:val="19"/>
              </w:rPr>
              <w:t>An attacker may possess an already-unlocked phone</w:t>
            </w:r>
          </w:p>
        </w:tc>
        <w:tc>
          <w:tcPr>
            <w:tcW w:type="dxa" w:w="3216"/>
            <w:vAlign w:val="top"/>
            <w:tcW w:type="dxa" w:w="3080"/>
          </w:tcPr>
          <w:p>
            <w:pPr>
              <w:spacing w:before="20" w:after="40"/>
            </w:pPr>
            <w:r>
              <w:rPr>
                <w:rFonts w:ascii="Times New Roman" w:hAnsi="Times New Roman"/>
                <w:sz w:val="19"/>
              </w:rPr>
              <w:t>Require App Lock authentication independently of device unlock</w:t>
            </w:r>
          </w:p>
        </w:tc>
      </w:tr>
      <w:tr>
        <w:trPr>
          <w:cantSplit/>
        </w:trPr>
        <w:tc>
          <w:tcPr>
            <w:tcW w:type="dxa" w:w="3216"/>
            <w:vAlign w:val="top"/>
            <w:tcW w:type="dxa" w:w="3080"/>
          </w:tcPr>
          <w:p>
            <w:pPr>
              <w:spacing w:before="20" w:after="40"/>
            </w:pPr>
            <w:r>
              <w:rPr>
                <w:rFonts w:ascii="Times New Roman" w:hAnsi="Times New Roman"/>
                <w:sz w:val="19"/>
              </w:rPr>
              <w:t>Hostile privileged UI service</w:t>
            </w:r>
          </w:p>
        </w:tc>
        <w:tc>
          <w:tcPr>
            <w:tcW w:type="dxa" w:w="3216"/>
            <w:vAlign w:val="top"/>
            <w:tcW w:type="dxa" w:w="3080"/>
          </w:tcPr>
          <w:p>
            <w:pPr>
              <w:spacing w:before="20" w:after="40"/>
            </w:pPr>
            <w:r>
              <w:rPr>
                <w:rFonts w:ascii="Times New Roman" w:hAnsi="Times New Roman"/>
                <w:sz w:val="19"/>
              </w:rPr>
              <w:t>A third-party overlay or user-authorized Accessibility service may observe or influence the screen</w:t>
            </w:r>
          </w:p>
        </w:tc>
        <w:tc>
          <w:tcPr>
            <w:tcW w:type="dxa" w:w="3216"/>
            <w:vAlign w:val="top"/>
            <w:tcW w:type="dxa" w:w="3080"/>
          </w:tcPr>
          <w:p>
            <w:pPr>
              <w:spacing w:before="20" w:after="40"/>
            </w:pPr>
            <w:r>
              <w:rPr>
                <w:rFonts w:ascii="Times New Roman" w:hAnsi="Times New Roman"/>
                <w:sz w:val="19"/>
              </w:rPr>
              <w:t>Apply best-effort input and display protection; retain the remaining risk explicitly</w:t>
            </w:r>
          </w:p>
        </w:tc>
      </w:tr>
    </w:tbl>
    <w:p>
      <w:pPr>
        <w:pStyle w:val="Heading2"/>
        <w:jc w:val="left"/>
      </w:pPr>
      <w:r>
        <w:t>2.4 Non-Goals</w:t>
      </w:r>
    </w:p>
    <w:p>
      <w:pPr>
        <w:jc w:val="left"/>
      </w:pPr>
      <w:r>
        <w:t>The application does not claim to:</w:t>
      </w:r>
    </w:p>
    <w:p>
      <w:pPr>
        <w:pStyle w:val="ListBullet"/>
        <w:jc w:val="left"/>
      </w:pPr>
      <w:r>
        <w:t>prevent an authorized phone user from uninstalling it, clearing its data, revoking capabilities, or force-stopping it;</w:t>
      </w:r>
    </w:p>
    <w:p>
      <w:pPr>
        <w:pStyle w:val="ListBullet"/>
        <w:jc w:val="left"/>
      </w:pPr>
      <w:r>
        <w:t>continue executing after Android has force-stopped it;</w:t>
      </w:r>
    </w:p>
    <w:p>
      <w:pPr>
        <w:pStyle w:val="ListBullet"/>
        <w:jc w:val="left"/>
      </w:pPr>
      <w:r>
        <w:t>defeat root access, operating-system compromise, malicious firmware, or a platform-controlled debugger;</w:t>
      </w:r>
    </w:p>
    <w:p>
      <w:pPr>
        <w:pStyle w:val="ListBullet"/>
        <w:jc w:val="left"/>
      </w:pPr>
      <w:r>
        <w:t>recover a forgotten PIN while preserving local App Lock configuration;</w:t>
      </w:r>
    </w:p>
    <w:p>
      <w:pPr>
        <w:pStyle w:val="ListBullet"/>
        <w:jc w:val="left"/>
      </w:pPr>
      <w:r>
        <w:t>protect content after App Lock has validly authorized access and the protected application displays that content;</w:t>
      </w:r>
    </w:p>
    <w:p>
      <w:pPr>
        <w:pStyle w:val="ListBullet"/>
        <w:jc w:val="left"/>
      </w:pPr>
      <w:r>
        <w:t>prevent observation by an external camera, coercion, or all forms of shoulder surfing;</w:t>
      </w:r>
    </w:p>
    <w:p>
      <w:pPr>
        <w:pStyle w:val="ListBullet"/>
        <w:jc w:val="left"/>
      </w:pPr>
      <w:r>
        <w:t>provide identical detection or presentation latency across all Android phone manufacturers;</w:t>
      </w:r>
    </w:p>
    <w:p>
      <w:pPr>
        <w:pStyle w:val="ListBullet"/>
        <w:jc w:val="left"/>
      </w:pPr>
      <w:r>
        <w:t>secure device classes, Android versions, user/profile arrangements, or duplicated-application environments outside Section 1.4.</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