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Threat Model</w:t>
      </w:r>
    </w:p>
    <w:p>
      <w:pPr>
        <w:pStyle w:val="Heading1"/>
        <w:jc w:val="left"/>
      </w:pPr>
      <w:r>
        <w:t>Version 1.0.0</w:t>
      </w:r>
    </w:p>
    <w:p>
      <w:pPr>
        <w:pStyle w:val="Heading1"/>
        <w:jc w:val="left"/>
      </w:pPr>
      <w:r>
        <w:t>5. Threat Identification and Analysis</w:t>
      </w:r>
    </w:p>
    <w:p>
      <w:pPr>
        <w:pStyle w:val="Heading2"/>
        <w:jc w:val="left"/>
      </w:pPr>
      <w:r>
        <w:t>5.1 Assessment Method</w:t>
      </w:r>
    </w:p>
    <w:p>
      <w:pPr>
        <w:jc w:val="left"/>
      </w:pPr>
      <w:r>
        <w:t>Each retained threat is assessed against the Version 1.0.0 assets, attack surfaces, security invariants, and Android boundaries defined above. Risk is classified as Critical, High, Medium, or Low according to the likelihood of the attack path and the consequence to authentication, authorization, confidentiality, integrity, availability, privacy, or truthful protection status.</w:t>
      </w:r>
    </w:p>
    <w:p>
      <w:pPr>
        <w:jc w:val="left"/>
      </w:pPr>
      <w:r>
        <w:t>The threat identifiers are retained from the established threat catalogue. Gaps are intentional where a threat belongs only to an excluded capability.</w:t>
      </w:r>
    </w:p>
    <w:p>
      <w:pPr>
        <w:pStyle w:val="Heading2"/>
        <w:jc w:val="left"/>
      </w:pPr>
      <w:r>
        <w:t>5.2 Risk Scale</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Rating</w:t>
            </w:r>
          </w:p>
        </w:tc>
        <w:tc>
          <w:tcPr>
            <w:tcW w:type="dxa" w:w="4824"/>
            <w:vAlign w:val="center"/>
            <w:shd w:fill="D9E1F2"/>
            <w:tcW w:type="dxa" w:w="4620"/>
          </w:tcPr>
          <w:p>
            <w:pPr>
              <w:spacing w:after="40"/>
            </w:pPr>
            <w:r>
              <w:rPr>
                <w:rFonts w:ascii="Times New Roman" w:hAnsi="Times New Roman"/>
                <w:b/>
                <w:sz w:val="19"/>
              </w:rPr>
              <w:t>Meaning</w:t>
            </w:r>
          </w:p>
        </w:tc>
      </w:tr>
      <w:tr>
        <w:trPr>
          <w:cantSplit/>
        </w:trPr>
        <w:tc>
          <w:tcPr>
            <w:tcW w:type="dxa" w:w="4824"/>
            <w:vAlign w:val="top"/>
            <w:tcW w:type="dxa" w:w="4620"/>
          </w:tcPr>
          <w:p>
            <w:pPr>
              <w:spacing w:before="20" w:after="40"/>
            </w:pPr>
            <w:r>
              <w:rPr>
                <w:rFonts w:ascii="Times New Roman" w:hAnsi="Times New Roman"/>
                <w:sz w:val="19"/>
              </w:rPr>
              <w:t>Critical</w:t>
            </w:r>
          </w:p>
        </w:tc>
        <w:tc>
          <w:tcPr>
            <w:tcW w:type="dxa" w:w="4824"/>
            <w:vAlign w:val="top"/>
            <w:tcW w:type="dxa" w:w="4620"/>
          </w:tcPr>
          <w:p>
            <w:pPr>
              <w:spacing w:before="20" w:after="40"/>
            </w:pPr>
            <w:r>
              <w:rPr>
                <w:rFonts w:ascii="Times New Roman" w:hAnsi="Times New Roman"/>
                <w:sz w:val="19"/>
              </w:rPr>
              <w:t>A plausible path can grant unauthorized protected-application access, expose primary credential or key material, or broadly defeat protection with no practical user containment</w:t>
            </w:r>
          </w:p>
        </w:tc>
      </w:tr>
      <w:tr>
        <w:trPr>
          <w:cantSplit/>
        </w:trPr>
        <w:tc>
          <w:tcPr>
            <w:tcW w:type="dxa" w:w="4824"/>
            <w:vAlign w:val="top"/>
            <w:tcW w:type="dxa" w:w="4620"/>
          </w:tcPr>
          <w:p>
            <w:pPr>
              <w:spacing w:before="20" w:after="40"/>
            </w:pPr>
            <w:r>
              <w:rPr>
                <w:rFonts w:ascii="Times New Roman" w:hAnsi="Times New Roman"/>
                <w:sz w:val="19"/>
              </w:rPr>
              <w:t>High</w:t>
            </w:r>
          </w:p>
        </w:tc>
        <w:tc>
          <w:tcPr>
            <w:tcW w:type="dxa" w:w="4824"/>
            <w:vAlign w:val="top"/>
            <w:tcW w:type="dxa" w:w="4620"/>
          </w:tcPr>
          <w:p>
            <w:pPr>
              <w:spacing w:before="20" w:after="40"/>
            </w:pPr>
            <w:r>
              <w:rPr>
                <w:rFonts w:ascii="Times New Roman" w:hAnsi="Times New Roman"/>
                <w:sz w:val="19"/>
              </w:rPr>
              <w:t>A material bypass, prolonged protection interruption, unauthorized security change, or false healthy state can occur under credible conditions</w:t>
            </w:r>
          </w:p>
        </w:tc>
      </w:tr>
      <w:tr>
        <w:trPr>
          <w:cantSplit/>
        </w:trPr>
        <w:tc>
          <w:tcPr>
            <w:tcW w:type="dxa" w:w="4824"/>
            <w:vAlign w:val="top"/>
            <w:tcW w:type="dxa" w:w="4620"/>
          </w:tcPr>
          <w:p>
            <w:pPr>
              <w:spacing w:before="20" w:after="40"/>
            </w:pPr>
            <w:r>
              <w:rPr>
                <w:rFonts w:ascii="Times New Roman" w:hAnsi="Times New Roman"/>
                <w:sz w:val="19"/>
              </w:rPr>
              <w:t>Medium</w:t>
            </w:r>
          </w:p>
        </w:tc>
        <w:tc>
          <w:tcPr>
            <w:tcW w:type="dxa" w:w="4824"/>
            <w:vAlign w:val="top"/>
            <w:tcW w:type="dxa" w:w="4620"/>
          </w:tcPr>
          <w:p>
            <w:pPr>
              <w:spacing w:before="20" w:after="40"/>
            </w:pPr>
            <w:r>
              <w:rPr>
                <w:rFonts w:ascii="Times New Roman" w:hAnsi="Times New Roman"/>
                <w:sz w:val="19"/>
              </w:rPr>
              <w:t>The threat requires narrower conditions, produces a limited exposure window, or is materially constrained by Android or another retained control</w:t>
            </w:r>
          </w:p>
        </w:tc>
      </w:tr>
      <w:tr>
        <w:trPr>
          <w:cantSplit/>
        </w:trPr>
        <w:tc>
          <w:tcPr>
            <w:tcW w:type="dxa" w:w="4824"/>
            <w:vAlign w:val="top"/>
            <w:tcW w:type="dxa" w:w="4620"/>
          </w:tcPr>
          <w:p>
            <w:pPr>
              <w:spacing w:before="20" w:after="40"/>
            </w:pPr>
            <w:r>
              <w:rPr>
                <w:rFonts w:ascii="Times New Roman" w:hAnsi="Times New Roman"/>
                <w:sz w:val="19"/>
              </w:rPr>
              <w:t>Low</w:t>
            </w:r>
          </w:p>
        </w:tc>
        <w:tc>
          <w:tcPr>
            <w:tcW w:type="dxa" w:w="4824"/>
            <w:vAlign w:val="top"/>
            <w:tcW w:type="dxa" w:w="4620"/>
          </w:tcPr>
          <w:p>
            <w:pPr>
              <w:spacing w:before="20" w:after="40"/>
            </w:pPr>
            <w:r>
              <w:rPr>
                <w:rFonts w:ascii="Times New Roman" w:hAnsi="Times New Roman"/>
                <w:sz w:val="19"/>
              </w:rPr>
              <w:t>The effect is limited, difficult to exploit, or primarily informational without defeating the core authorization promise</w:t>
            </w:r>
          </w:p>
        </w:tc>
      </w:tr>
    </w:tbl>
    <w:p>
      <w:pPr>
        <w:pStyle w:val="Heading2"/>
        <w:jc w:val="left"/>
      </w:pPr>
      <w:r>
        <w:t>5.3 Credential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**THR-CRED-001 — PIN Confidentiality Compromise**</w:t>
            </w:r>
          </w:p>
        </w:tc>
        <w:tc>
          <w:tcPr>
            <w:tcW w:type="dxa" w:w="1930"/>
            <w:vAlign w:val="top"/>
            <w:tcW w:type="dxa" w:w="1848"/>
          </w:tcPr>
          <w:p>
            <w:pPr>
              <w:spacing w:before="20" w:after="40"/>
            </w:pPr>
            <w:r>
              <w:rPr>
                <w:rFonts w:ascii="Times New Roman" w:hAnsi="Times New Roman"/>
                <w:sz w:val="19"/>
              </w:rPr>
              <w:t>An attacker observes PIN entry or obtains PIN-related data from storage, logs, screenshots, clipboard, autofill, diagnostics, or a hostile UI service</w:t>
            </w:r>
          </w:p>
        </w:tc>
        <w:tc>
          <w:tcPr>
            <w:tcW w:type="dxa" w:w="1930"/>
            <w:vAlign w:val="top"/>
            <w:tcW w:type="dxa" w:w="1848"/>
          </w:tcPr>
          <w:p>
            <w:pPr>
              <w:spacing w:before="20" w:after="40"/>
            </w:pPr>
            <w:r>
              <w:rPr>
                <w:rFonts w:ascii="Times New Roman" w:hAnsi="Times New Roman"/>
                <w:sz w:val="19"/>
              </w:rPr>
              <w:t>The attacker may authenticate as the user and alter protection</w:t>
            </w:r>
          </w:p>
        </w:tc>
        <w:tc>
          <w:tcPr>
            <w:tcW w:type="dxa" w:w="1930"/>
            <w:vAlign w:val="top"/>
            <w:tcW w:type="dxa" w:w="1848"/>
          </w:tcPr>
          <w:p>
            <w:pPr>
              <w:spacing w:before="20" w:after="40"/>
            </w:pPr>
            <w:r>
              <w:rPr>
                <w:rFonts w:ascii="Times New Roman" w:hAnsi="Times New Roman"/>
                <w:sz w:val="19"/>
              </w:rPr>
              <w:t>SC-AUTH-001, SC-UI-001, SC-PRIV-002, SC-DATA-001</w:t>
            </w:r>
          </w:p>
        </w:tc>
        <w:tc>
          <w:tcPr>
            <w:tcW w:type="dxa" w:w="1930"/>
            <w:vAlign w:val="top"/>
            <w:tcW w:type="dxa" w:w="1848"/>
          </w:tcPr>
          <w:p>
            <w:pPr>
              <w:spacing w:before="20" w:after="40"/>
            </w:pPr>
            <w:r>
              <w:rPr>
                <w:rFonts w:ascii="Times New Roman" w:hAnsi="Times New Roman"/>
                <w:sz w:val="19"/>
              </w:rPr>
              <w:t>Physical observation and hostile privileged UI services cannot be completely prevented; **High**</w:t>
            </w:r>
          </w:p>
        </w:tc>
      </w:tr>
      <w:tr>
        <w:trPr>
          <w:cantSplit/>
        </w:trPr>
        <w:tc>
          <w:tcPr>
            <w:tcW w:type="dxa" w:w="1930"/>
            <w:vAlign w:val="top"/>
            <w:tcW w:type="dxa" w:w="1848"/>
          </w:tcPr>
          <w:p>
            <w:pPr>
              <w:spacing w:before="20" w:after="40"/>
            </w:pPr>
            <w:r>
              <w:rPr>
                <w:rFonts w:ascii="Times New Roman" w:hAnsi="Times New Roman"/>
                <w:sz w:val="19"/>
              </w:rPr>
              <w:t>**THR-CRED-002 — Unauthorized PIN Reset or Change**</w:t>
            </w:r>
          </w:p>
        </w:tc>
        <w:tc>
          <w:tcPr>
            <w:tcW w:type="dxa" w:w="1930"/>
            <w:vAlign w:val="top"/>
            <w:tcW w:type="dxa" w:w="1848"/>
          </w:tcPr>
          <w:p>
            <w:pPr>
              <w:spacing w:before="20" w:after="40"/>
            </w:pPr>
            <w:r>
              <w:rPr>
                <w:rFonts w:ascii="Times New Roman" w:hAnsi="Times New Roman"/>
                <w:sz w:val="19"/>
              </w:rPr>
              <w:t>An unauthenticated route reaches credential change or a reset is misrepresented as credential recovery</w:t>
            </w:r>
          </w:p>
        </w:tc>
        <w:tc>
          <w:tcPr>
            <w:tcW w:type="dxa" w:w="1930"/>
            <w:vAlign w:val="top"/>
            <w:tcW w:type="dxa" w:w="1848"/>
          </w:tcPr>
          <w:p>
            <w:pPr>
              <w:spacing w:before="20" w:after="40"/>
            </w:pPr>
            <w:r>
              <w:rPr>
                <w:rFonts w:ascii="Times New Roman" w:hAnsi="Times New Roman"/>
                <w:sz w:val="19"/>
              </w:rPr>
              <w:t>The attacker replaces the user credential or disables existing protection</w:t>
            </w:r>
          </w:p>
        </w:tc>
        <w:tc>
          <w:tcPr>
            <w:tcW w:type="dxa" w:w="1930"/>
            <w:vAlign w:val="top"/>
            <w:tcW w:type="dxa" w:w="1848"/>
          </w:tcPr>
          <w:p>
            <w:pPr>
              <w:spacing w:before="20" w:after="40"/>
            </w:pPr>
            <w:r>
              <w:rPr>
                <w:rFonts w:ascii="Times New Roman" w:hAnsi="Times New Roman"/>
                <w:sz w:val="19"/>
              </w:rPr>
              <w:t>SC-AUTH-002, SC-RESET-001, SC-STATE-001</w:t>
            </w:r>
          </w:p>
        </w:tc>
        <w:tc>
          <w:tcPr>
            <w:tcW w:type="dxa" w:w="1930"/>
            <w:vAlign w:val="top"/>
            <w:tcW w:type="dxa" w:w="1848"/>
          </w:tcPr>
          <w:p>
            <w:pPr>
              <w:spacing w:before="20" w:after="40"/>
            </w:pPr>
            <w:r>
              <w:rPr>
                <w:rFonts w:ascii="Times New Roman" w:hAnsi="Times New Roman"/>
                <w:sz w:val="19"/>
              </w:rPr>
              <w:t>Android data clear and uninstall remain outside continuing protection; **Medium**</w:t>
            </w:r>
          </w:p>
        </w:tc>
      </w:tr>
      <w:tr>
        <w:trPr>
          <w:cantSplit/>
        </w:trPr>
        <w:tc>
          <w:tcPr>
            <w:tcW w:type="dxa" w:w="1930"/>
            <w:vAlign w:val="top"/>
            <w:tcW w:type="dxa" w:w="1848"/>
          </w:tcPr>
          <w:p>
            <w:pPr>
              <w:spacing w:before="20" w:after="40"/>
            </w:pPr>
            <w:r>
              <w:rPr>
                <w:rFonts w:ascii="Times New Roman" w:hAnsi="Times New Roman"/>
                <w:sz w:val="19"/>
              </w:rPr>
              <w:t>**THR-CRED-003 — Credential Reset Through Application Data Manipulation**</w:t>
            </w:r>
          </w:p>
        </w:tc>
        <w:tc>
          <w:tcPr>
            <w:tcW w:type="dxa" w:w="1930"/>
            <w:vAlign w:val="top"/>
            <w:tcW w:type="dxa" w:w="1848"/>
          </w:tcPr>
          <w:p>
            <w:pPr>
              <w:spacing w:before="20" w:after="40"/>
            </w:pPr>
            <w:r>
              <w:rPr>
                <w:rFonts w:ascii="Times New Roman" w:hAnsi="Times New Roman"/>
                <w:sz w:val="19"/>
              </w:rPr>
              <w:t>Stored verifier, salt, retry state, or credential-existence state is modified, deleted, partially migrated, or replaced</w:t>
            </w:r>
          </w:p>
        </w:tc>
        <w:tc>
          <w:tcPr>
            <w:tcW w:type="dxa" w:w="1930"/>
            <w:vAlign w:val="top"/>
            <w:tcW w:type="dxa" w:w="1848"/>
          </w:tcPr>
          <w:p>
            <w:pPr>
              <w:spacing w:before="20" w:after="40"/>
            </w:pPr>
            <w:r>
              <w:rPr>
                <w:rFonts w:ascii="Times New Roman" w:hAnsi="Times New Roman"/>
                <w:sz w:val="19"/>
              </w:rPr>
              <w:t>The application may accept a new credential or enter an unsafe first-run state</w:t>
            </w:r>
          </w:p>
        </w:tc>
        <w:tc>
          <w:tcPr>
            <w:tcW w:type="dxa" w:w="1930"/>
            <w:vAlign w:val="top"/>
            <w:tcW w:type="dxa" w:w="1848"/>
          </w:tcPr>
          <w:p>
            <w:pPr>
              <w:spacing w:before="20" w:after="40"/>
            </w:pPr>
            <w:r>
              <w:rPr>
                <w:rFonts w:ascii="Times New Roman" w:hAnsi="Times New Roman"/>
                <w:sz w:val="19"/>
              </w:rPr>
              <w:t>SC-DATA-001, SC-DATA-003, SC-DATA-004, SC-RESET-001</w:t>
            </w:r>
          </w:p>
        </w:tc>
        <w:tc>
          <w:tcPr>
            <w:tcW w:type="dxa" w:w="1930"/>
            <w:vAlign w:val="top"/>
            <w:tcW w:type="dxa" w:w="1848"/>
          </w:tcPr>
          <w:p>
            <w:pPr>
              <w:spacing w:before="20" w:after="40"/>
            </w:pPr>
            <w:r>
              <w:rPr>
                <w:rFonts w:ascii="Times New Roman" w:hAnsi="Times New Roman"/>
                <w:sz w:val="19"/>
              </w:rPr>
              <w:t>Root/system attackers can alter local state; **Medium** within the supported boundary, **Critical** outside it</w:t>
            </w:r>
          </w:p>
        </w:tc>
      </w:tr>
      <w:tr>
        <w:trPr>
          <w:cantSplit/>
        </w:trPr>
        <w:tc>
          <w:tcPr>
            <w:tcW w:type="dxa" w:w="1930"/>
            <w:vAlign w:val="top"/>
            <w:tcW w:type="dxa" w:w="1848"/>
          </w:tcPr>
          <w:p>
            <w:pPr>
              <w:spacing w:before="20" w:after="40"/>
            </w:pPr>
            <w:r>
              <w:rPr>
                <w:rFonts w:ascii="Times New Roman" w:hAnsi="Times New Roman"/>
                <w:sz w:val="19"/>
              </w:rPr>
              <w:t>**THR-CRED-004 — Credential Exposure Through Runtime Handling**</w:t>
            </w:r>
          </w:p>
        </w:tc>
        <w:tc>
          <w:tcPr>
            <w:tcW w:type="dxa" w:w="1930"/>
            <w:vAlign w:val="top"/>
            <w:tcW w:type="dxa" w:w="1848"/>
          </w:tcPr>
          <w:p>
            <w:pPr>
              <w:spacing w:before="20" w:after="40"/>
            </w:pPr>
            <w:r>
              <w:rPr>
                <w:rFonts w:ascii="Times New Roman" w:hAnsi="Times New Roman"/>
                <w:sz w:val="19"/>
              </w:rPr>
              <w:t>PIN digits or verifier inputs remain in memory longer than needed, appear in exceptions, or are passed to an exposed surface</w:t>
            </w:r>
          </w:p>
        </w:tc>
        <w:tc>
          <w:tcPr>
            <w:tcW w:type="dxa" w:w="1930"/>
            <w:vAlign w:val="top"/>
            <w:tcW w:type="dxa" w:w="1848"/>
          </w:tcPr>
          <w:p>
            <w:pPr>
              <w:spacing w:before="20" w:after="40"/>
            </w:pPr>
            <w:r>
              <w:rPr>
                <w:rFonts w:ascii="Times New Roman" w:hAnsi="Times New Roman"/>
                <w:sz w:val="19"/>
              </w:rPr>
              <w:t>PIN confidentiality is weakened without accessing encrypted storage</w:t>
            </w:r>
          </w:p>
        </w:tc>
        <w:tc>
          <w:tcPr>
            <w:tcW w:type="dxa" w:w="1930"/>
            <w:vAlign w:val="top"/>
            <w:tcW w:type="dxa" w:w="1848"/>
          </w:tcPr>
          <w:p>
            <w:pPr>
              <w:spacing w:before="20" w:after="40"/>
            </w:pPr>
            <w:r>
              <w:rPr>
                <w:rFonts w:ascii="Times New Roman" w:hAnsi="Times New Roman"/>
                <w:sz w:val="19"/>
              </w:rPr>
              <w:t>SC-AUTH-001, SC-PRIV-002, SC-COMP-001</w:t>
            </w:r>
          </w:p>
        </w:tc>
        <w:tc>
          <w:tcPr>
            <w:tcW w:type="dxa" w:w="1930"/>
            <w:vAlign w:val="top"/>
            <w:tcW w:type="dxa" w:w="1848"/>
          </w:tcPr>
          <w:p>
            <w:pPr>
              <w:spacing w:before="20" w:after="40"/>
            </w:pPr>
            <w:r>
              <w:rPr>
                <w:rFonts w:ascii="Times New Roman" w:hAnsi="Times New Roman"/>
                <w:sz w:val="19"/>
              </w:rPr>
              <w:t>A rooted or instrumented process can inspect memory; **Medium** within the supported boundary</w:t>
            </w:r>
          </w:p>
        </w:tc>
      </w:tr>
    </w:tbl>
    <w:p>
      <w:pPr>
        <w:pStyle w:val="Heading2"/>
        <w:jc w:val="left"/>
      </w:pPr>
      <w:r>
        <w:t>5.4 Authentication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**THR-AUTH-001 — PIN Authentication Bypass**</w:t>
            </w:r>
          </w:p>
        </w:tc>
        <w:tc>
          <w:tcPr>
            <w:tcW w:type="dxa" w:w="1930"/>
            <w:vAlign w:val="top"/>
            <w:tcW w:type="dxa" w:w="1848"/>
          </w:tcPr>
          <w:p>
            <w:pPr>
              <w:spacing w:before="20" w:after="40"/>
            </w:pPr>
            <w:r>
              <w:rPr>
                <w:rFonts w:ascii="Times New Roman" w:hAnsi="Times New Roman"/>
                <w:sz w:val="19"/>
              </w:rPr>
              <w:t>Error handling, malformed input, stale success state, timeout, cancellation, or screen recreation is interpreted as a correct PIN</w:t>
            </w:r>
          </w:p>
        </w:tc>
        <w:tc>
          <w:tcPr>
            <w:tcW w:type="dxa" w:w="1930"/>
            <w:vAlign w:val="top"/>
            <w:tcW w:type="dxa" w:w="1848"/>
          </w:tcPr>
          <w:p>
            <w:pPr>
              <w:spacing w:before="20" w:after="40"/>
            </w:pPr>
            <w:r>
              <w:rPr>
                <w:rFonts w:ascii="Times New Roman" w:hAnsi="Times New Roman"/>
                <w:sz w:val="19"/>
              </w:rPr>
              <w:t>Unauthorized session creation</w:t>
            </w:r>
          </w:p>
        </w:tc>
        <w:tc>
          <w:tcPr>
            <w:tcW w:type="dxa" w:w="1930"/>
            <w:vAlign w:val="top"/>
            <w:tcW w:type="dxa" w:w="1848"/>
          </w:tcPr>
          <w:p>
            <w:pPr>
              <w:spacing w:before="20" w:after="40"/>
            </w:pPr>
            <w:r>
              <w:rPr>
                <w:rFonts w:ascii="Times New Roman" w:hAnsi="Times New Roman"/>
                <w:sz w:val="19"/>
              </w:rPr>
              <w:t>SC-AUTH-001, SC-SESS-001, SC-UI-003</w:t>
            </w:r>
          </w:p>
        </w:tc>
        <w:tc>
          <w:tcPr>
            <w:tcW w:type="dxa" w:w="1930"/>
            <w:vAlign w:val="top"/>
            <w:tcW w:type="dxa" w:w="1848"/>
          </w:tcPr>
          <w:p>
            <w:pPr>
              <w:spacing w:before="20" w:after="40"/>
            </w:pPr>
            <w:r>
              <w:rPr>
                <w:rFonts w:ascii="Times New Roman" w:hAnsi="Times New Roman"/>
                <w:sz w:val="19"/>
              </w:rPr>
              <w:t>Residual risk is **Low** after negative-path verification</w:t>
            </w:r>
          </w:p>
        </w:tc>
      </w:tr>
      <w:tr>
        <w:trPr>
          <w:cantSplit/>
        </w:trPr>
        <w:tc>
          <w:tcPr>
            <w:tcW w:type="dxa" w:w="1930"/>
            <w:vAlign w:val="top"/>
            <w:tcW w:type="dxa" w:w="1848"/>
          </w:tcPr>
          <w:p>
            <w:pPr>
              <w:spacing w:before="20" w:after="40"/>
            </w:pPr>
            <w:r>
              <w:rPr>
                <w:rFonts w:ascii="Times New Roman" w:hAnsi="Times New Roman"/>
                <w:sz w:val="19"/>
              </w:rPr>
              <w:t>**THR-AUTH-002 — Biometric Authentication Result Abuse**</w:t>
            </w:r>
          </w:p>
        </w:tc>
        <w:tc>
          <w:tcPr>
            <w:tcW w:type="dxa" w:w="1930"/>
            <w:vAlign w:val="top"/>
            <w:tcW w:type="dxa" w:w="1848"/>
          </w:tcPr>
          <w:p>
            <w:pPr>
              <w:spacing w:before="20" w:after="40"/>
            </w:pPr>
            <w:r>
              <w:rPr>
                <w:rFonts w:ascii="Times New Roman" w:hAnsi="Times New Roman"/>
                <w:sz w:val="19"/>
              </w:rPr>
              <w:t>A stale, cancelled, unrelated, or ineligible biometric result is accepted; lifecycle recreation detaches the result from its request</w:t>
            </w:r>
          </w:p>
        </w:tc>
        <w:tc>
          <w:tcPr>
            <w:tcW w:type="dxa" w:w="1930"/>
            <w:vAlign w:val="top"/>
            <w:tcW w:type="dxa" w:w="1848"/>
          </w:tcPr>
          <w:p>
            <w:pPr>
              <w:spacing w:before="20" w:after="40"/>
            </w:pPr>
            <w:r>
              <w:rPr>
                <w:rFonts w:ascii="Times New Roman" w:hAnsi="Times New Roman"/>
                <w:sz w:val="19"/>
              </w:rPr>
              <w:t>Unauthorized session creation</w:t>
            </w:r>
          </w:p>
        </w:tc>
        <w:tc>
          <w:tcPr>
            <w:tcW w:type="dxa" w:w="1930"/>
            <w:vAlign w:val="top"/>
            <w:tcW w:type="dxa" w:w="1848"/>
          </w:tcPr>
          <w:p>
            <w:pPr>
              <w:spacing w:before="20" w:after="40"/>
            </w:pPr>
            <w:r>
              <w:rPr>
                <w:rFonts w:ascii="Times New Roman" w:hAnsi="Times New Roman"/>
                <w:sz w:val="19"/>
              </w:rPr>
              <w:t>SC-AUTH-004, SC-SESS-001, SC-UI-003</w:t>
            </w:r>
          </w:p>
        </w:tc>
        <w:tc>
          <w:tcPr>
            <w:tcW w:type="dxa" w:w="1930"/>
            <w:vAlign w:val="top"/>
            <w:tcW w:type="dxa" w:w="1848"/>
          </w:tcPr>
          <w:p>
            <w:pPr>
              <w:spacing w:before="20" w:after="40"/>
            </w:pPr>
            <w:r>
              <w:rPr>
                <w:rFonts w:ascii="Times New Roman" w:hAnsi="Times New Roman"/>
                <w:sz w:val="19"/>
              </w:rPr>
              <w:t>Android biometric integrity remains a platform assumption; **Medium**</w:t>
            </w:r>
          </w:p>
        </w:tc>
      </w:tr>
      <w:tr>
        <w:trPr>
          <w:cantSplit/>
        </w:trPr>
        <w:tc>
          <w:tcPr>
            <w:tcW w:type="dxa" w:w="1930"/>
            <w:vAlign w:val="top"/>
            <w:tcW w:type="dxa" w:w="1848"/>
          </w:tcPr>
          <w:p>
            <w:pPr>
              <w:spacing w:before="20" w:after="40"/>
            </w:pPr>
            <w:r>
              <w:rPr>
                <w:rFonts w:ascii="Times New Roman" w:hAnsi="Times New Roman"/>
                <w:sz w:val="19"/>
              </w:rPr>
              <w:t>**THR-AUTH-003 — Authentication State Confusion**</w:t>
            </w:r>
          </w:p>
        </w:tc>
        <w:tc>
          <w:tcPr>
            <w:tcW w:type="dxa" w:w="1930"/>
            <w:vAlign w:val="top"/>
            <w:tcW w:type="dxa" w:w="1848"/>
          </w:tcPr>
          <w:p>
            <w:pPr>
              <w:spacing w:before="20" w:after="40"/>
            </w:pPr>
            <w:r>
              <w:rPr>
                <w:rFonts w:ascii="Times New Roman" w:hAnsi="Times New Roman"/>
                <w:sz w:val="19"/>
              </w:rPr>
              <w:t>PIN and biometric states overlap, an old result survives navigation, or the lock interface mistakes visible state for authorization</w:t>
            </w:r>
          </w:p>
        </w:tc>
        <w:tc>
          <w:tcPr>
            <w:tcW w:type="dxa" w:w="1930"/>
            <w:vAlign w:val="top"/>
            <w:tcW w:type="dxa" w:w="1848"/>
          </w:tcPr>
          <w:p>
            <w:pPr>
              <w:spacing w:before="20" w:after="40"/>
            </w:pPr>
            <w:r>
              <w:rPr>
                <w:rFonts w:ascii="Times New Roman" w:hAnsi="Times New Roman"/>
                <w:sz w:val="19"/>
              </w:rPr>
              <w:t>Access is granted without one completed active request</w:t>
            </w:r>
          </w:p>
        </w:tc>
        <w:tc>
          <w:tcPr>
            <w:tcW w:type="dxa" w:w="1930"/>
            <w:vAlign w:val="top"/>
            <w:tcW w:type="dxa" w:w="1848"/>
          </w:tcPr>
          <w:p>
            <w:pPr>
              <w:spacing w:before="20" w:after="40"/>
            </w:pPr>
            <w:r>
              <w:rPr>
                <w:rFonts w:ascii="Times New Roman" w:hAnsi="Times New Roman"/>
                <w:sz w:val="19"/>
              </w:rPr>
              <w:t>SC-AUTH-004, SC-SESS-001, SC-UI-003</w:t>
            </w:r>
          </w:p>
        </w:tc>
        <w:tc>
          <w:tcPr>
            <w:tcW w:type="dxa" w:w="1930"/>
            <w:vAlign w:val="top"/>
            <w:tcW w:type="dxa" w:w="1848"/>
          </w:tcPr>
          <w:p>
            <w:pPr>
              <w:spacing w:before="20" w:after="40"/>
            </w:pPr>
            <w:r>
              <w:rPr>
                <w:rFonts w:ascii="Times New Roman" w:hAnsi="Times New Roman"/>
                <w:sz w:val="19"/>
              </w:rPr>
              <w:t>Residual risk is **Low** after interruption and lifecycle testing</w:t>
            </w:r>
          </w:p>
        </w:tc>
      </w:tr>
      <w:tr>
        <w:trPr>
          <w:cantSplit/>
        </w:trPr>
        <w:tc>
          <w:tcPr>
            <w:tcW w:type="dxa" w:w="1930"/>
            <w:vAlign w:val="top"/>
            <w:tcW w:type="dxa" w:w="1848"/>
          </w:tcPr>
          <w:p>
            <w:pPr>
              <w:spacing w:before="20" w:after="40"/>
            </w:pPr>
            <w:r>
              <w:rPr>
                <w:rFonts w:ascii="Times New Roman" w:hAnsi="Times New Roman"/>
                <w:sz w:val="19"/>
              </w:rPr>
              <w:t>**THR-AUTH-004 — Brute-Force Lockout Bypass**</w:t>
            </w:r>
          </w:p>
        </w:tc>
        <w:tc>
          <w:tcPr>
            <w:tcW w:type="dxa" w:w="1930"/>
            <w:vAlign w:val="top"/>
            <w:tcW w:type="dxa" w:w="1848"/>
          </w:tcPr>
          <w:p>
            <w:pPr>
              <w:spacing w:before="20" w:after="40"/>
            </w:pPr>
            <w:r>
              <w:rPr>
                <w:rFonts w:ascii="Times New Roman" w:hAnsi="Times New Roman"/>
                <w:sz w:val="19"/>
              </w:rPr>
              <w:t>Restart, process termination, reboot, navigation, or time manipulation clears failed-attempt or lockout state</w:t>
            </w:r>
          </w:p>
        </w:tc>
        <w:tc>
          <w:tcPr>
            <w:tcW w:type="dxa" w:w="1930"/>
            <w:vAlign w:val="top"/>
            <w:tcW w:type="dxa" w:w="1848"/>
          </w:tcPr>
          <w:p>
            <w:pPr>
              <w:spacing w:before="20" w:after="40"/>
            </w:pPr>
            <w:r>
              <w:rPr>
                <w:rFonts w:ascii="Times New Roman" w:hAnsi="Times New Roman"/>
                <w:sz w:val="19"/>
              </w:rPr>
              <w:t>An attacker obtains materially more guesses than policy permits</w:t>
            </w:r>
          </w:p>
        </w:tc>
        <w:tc>
          <w:tcPr>
            <w:tcW w:type="dxa" w:w="1930"/>
            <w:vAlign w:val="top"/>
            <w:tcW w:type="dxa" w:w="1848"/>
          </w:tcPr>
          <w:p>
            <w:pPr>
              <w:spacing w:before="20" w:after="40"/>
            </w:pPr>
            <w:r>
              <w:rPr>
                <w:rFonts w:ascii="Times New Roman" w:hAnsi="Times New Roman"/>
                <w:sz w:val="19"/>
              </w:rPr>
              <w:t>SC-AUTH-003, SC-DATA-003, SC-LIFE-001</w:t>
            </w:r>
          </w:p>
        </w:tc>
        <w:tc>
          <w:tcPr>
            <w:tcW w:type="dxa" w:w="1930"/>
            <w:vAlign w:val="top"/>
            <w:tcW w:type="dxa" w:w="1848"/>
          </w:tcPr>
          <w:p>
            <w:pPr>
              <w:spacing w:before="20" w:after="40"/>
            </w:pPr>
            <w:r>
              <w:rPr>
                <w:rFonts w:ascii="Times New Roman" w:hAnsi="Times New Roman"/>
                <w:sz w:val="19"/>
              </w:rPr>
              <w:t>A weak user-selected PIN remains susceptible within the bounded attempt policy; **Medium**</w:t>
            </w:r>
          </w:p>
        </w:tc>
      </w:tr>
    </w:tbl>
    <w:p>
      <w:pPr>
        <w:pStyle w:val="Heading2"/>
        <w:jc w:val="left"/>
      </w:pPr>
      <w:r>
        <w:t>5.5 Protected-Application Enforcement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**THR-ENF-001 — Foreground Detection Failure**</w:t>
            </w:r>
          </w:p>
        </w:tc>
        <w:tc>
          <w:tcPr>
            <w:tcW w:type="dxa" w:w="1930"/>
            <w:vAlign w:val="top"/>
            <w:tcW w:type="dxa" w:w="1848"/>
          </w:tcPr>
          <w:p>
            <w:pPr>
              <w:spacing w:before="20" w:after="40"/>
            </w:pPr>
            <w:r>
              <w:rPr>
                <w:rFonts w:ascii="Times New Roman" w:hAnsi="Times New Roman"/>
                <w:sz w:val="19"/>
              </w:rPr>
              <w:t>Android Usage Access is delayed, incomplete, denied, or interpreted incorrectly when a protected application becomes foreground</w:t>
            </w:r>
          </w:p>
        </w:tc>
        <w:tc>
          <w:tcPr>
            <w:tcW w:type="dxa" w:w="1930"/>
            <w:vAlign w:val="top"/>
            <w:tcW w:type="dxa" w:w="1848"/>
          </w:tcPr>
          <w:p>
            <w:pPr>
              <w:spacing w:before="20" w:after="40"/>
            </w:pPr>
            <w:r>
              <w:rPr>
                <w:rFonts w:ascii="Times New Roman" w:hAnsi="Times New Roman"/>
                <w:sz w:val="19"/>
              </w:rPr>
              <w:t>Protected content may appear before authentication</w:t>
            </w:r>
          </w:p>
        </w:tc>
        <w:tc>
          <w:tcPr>
            <w:tcW w:type="dxa" w:w="1930"/>
            <w:vAlign w:val="top"/>
            <w:tcW w:type="dxa" w:w="1848"/>
          </w:tcPr>
          <w:p>
            <w:pPr>
              <w:spacing w:before="20" w:after="40"/>
            </w:pPr>
            <w:r>
              <w:rPr>
                <w:rFonts w:ascii="Times New Roman" w:hAnsi="Times New Roman"/>
                <w:sz w:val="19"/>
              </w:rPr>
              <w:t>SC-ENF-001, SC-ENF-002, SC-HEALTH-001</w:t>
            </w:r>
          </w:p>
        </w:tc>
        <w:tc>
          <w:tcPr>
            <w:tcW w:type="dxa" w:w="1930"/>
            <w:vAlign w:val="top"/>
            <w:tcW w:type="dxa" w:w="1848"/>
          </w:tcPr>
          <w:p>
            <w:pPr>
              <w:spacing w:before="20" w:after="40"/>
            </w:pPr>
            <w:r>
              <w:rPr>
                <w:rFonts w:ascii="Times New Roman" w:hAnsi="Times New Roman"/>
                <w:sz w:val="19"/>
              </w:rPr>
              <w:t>Android reporting latency creates a limited exposure window; **High**</w:t>
            </w:r>
          </w:p>
        </w:tc>
      </w:tr>
      <w:tr>
        <w:trPr>
          <w:cantSplit/>
        </w:trPr>
        <w:tc>
          <w:tcPr>
            <w:tcW w:type="dxa" w:w="1930"/>
            <w:vAlign w:val="top"/>
            <w:tcW w:type="dxa" w:w="1848"/>
          </w:tcPr>
          <w:p>
            <w:pPr>
              <w:spacing w:before="20" w:after="40"/>
            </w:pPr>
            <w:r>
              <w:rPr>
                <w:rFonts w:ascii="Times New Roman" w:hAnsi="Times New Roman"/>
                <w:sz w:val="19"/>
              </w:rPr>
              <w:t>**THR-ENF-002 — Deliberate Detection Disruption**</w:t>
            </w:r>
          </w:p>
        </w:tc>
        <w:tc>
          <w:tcPr>
            <w:tcW w:type="dxa" w:w="1930"/>
            <w:vAlign w:val="top"/>
            <w:tcW w:type="dxa" w:w="1848"/>
          </w:tcPr>
          <w:p>
            <w:pPr>
              <w:spacing w:before="20" w:after="40"/>
            </w:pPr>
            <w:r>
              <w:rPr>
                <w:rFonts w:ascii="Times New Roman" w:hAnsi="Times New Roman"/>
                <w:sz w:val="19"/>
              </w:rPr>
              <w:t>A user or attacker revokes Usage Access, disables the presentation capability, force-stops App Lock, or triggers an Android restriction</w:t>
            </w:r>
          </w:p>
        </w:tc>
        <w:tc>
          <w:tcPr>
            <w:tcW w:type="dxa" w:w="1930"/>
            <w:vAlign w:val="top"/>
            <w:tcW w:type="dxa" w:w="1848"/>
          </w:tcPr>
          <w:p>
            <w:pPr>
              <w:spacing w:before="20" w:after="40"/>
            </w:pPr>
            <w:r>
              <w:rPr>
                <w:rFonts w:ascii="Times New Roman" w:hAnsi="Times New Roman"/>
                <w:sz w:val="19"/>
              </w:rPr>
              <w:t>The core protection path cannot operate</w:t>
            </w:r>
          </w:p>
        </w:tc>
        <w:tc>
          <w:tcPr>
            <w:tcW w:type="dxa" w:w="1930"/>
            <w:vAlign w:val="top"/>
            <w:tcW w:type="dxa" w:w="1848"/>
          </w:tcPr>
          <w:p>
            <w:pPr>
              <w:spacing w:before="20" w:after="40"/>
            </w:pPr>
            <w:r>
              <w:rPr>
                <w:rFonts w:ascii="Times New Roman" w:hAnsi="Times New Roman"/>
                <w:sz w:val="19"/>
              </w:rPr>
              <w:t>SC-ENF-001, SC-ENF-003, SC-HEALTH-001, SC-LIFE-001</w:t>
            </w:r>
          </w:p>
        </w:tc>
        <w:tc>
          <w:tcPr>
            <w:tcW w:type="dxa" w:w="1930"/>
            <w:vAlign w:val="top"/>
            <w:tcW w:type="dxa" w:w="1848"/>
          </w:tcPr>
          <w:p>
            <w:pPr>
              <w:spacing w:before="20" w:after="40"/>
            </w:pPr>
            <w:r>
              <w:rPr>
                <w:rFonts w:ascii="Times New Roman" w:hAnsi="Times New Roman"/>
                <w:sz w:val="19"/>
              </w:rPr>
              <w:t>Force-stop and user-controlled revocation cannot be prevented; **High**</w:t>
            </w:r>
          </w:p>
        </w:tc>
      </w:tr>
      <w:tr>
        <w:trPr>
          <w:cantSplit/>
        </w:trPr>
        <w:tc>
          <w:tcPr>
            <w:tcW w:type="dxa" w:w="1930"/>
            <w:vAlign w:val="top"/>
            <w:tcW w:type="dxa" w:w="1848"/>
          </w:tcPr>
          <w:p>
            <w:pPr>
              <w:spacing w:before="20" w:after="40"/>
            </w:pPr>
            <w:r>
              <w:rPr>
                <w:rFonts w:ascii="Times New Roman" w:hAnsi="Times New Roman"/>
                <w:sz w:val="19"/>
              </w:rPr>
              <w:t>**THR-ENF-003 — Silent Detection Failure**</w:t>
            </w:r>
          </w:p>
        </w:tc>
        <w:tc>
          <w:tcPr>
            <w:tcW w:type="dxa" w:w="1930"/>
            <w:vAlign w:val="top"/>
            <w:tcW w:type="dxa" w:w="1848"/>
          </w:tcPr>
          <w:p>
            <w:pPr>
              <w:spacing w:before="20" w:after="40"/>
            </w:pPr>
            <w:r>
              <w:rPr>
                <w:rFonts w:ascii="Times New Roman" w:hAnsi="Times New Roman"/>
                <w:sz w:val="19"/>
              </w:rPr>
              <w:t>Required grants appear present while foreground information, processing, or lock presentation no longer functions</w:t>
            </w:r>
          </w:p>
        </w:tc>
        <w:tc>
          <w:tcPr>
            <w:tcW w:type="dxa" w:w="1930"/>
            <w:vAlign w:val="top"/>
            <w:tcW w:type="dxa" w:w="1848"/>
          </w:tcPr>
          <w:p>
            <w:pPr>
              <w:spacing w:before="20" w:after="40"/>
            </w:pPr>
            <w:r>
              <w:rPr>
                <w:rFonts w:ascii="Times New Roman" w:hAnsi="Times New Roman"/>
                <w:sz w:val="19"/>
              </w:rPr>
              <w:t>The application may claim protection while protected applications remain usable</w:t>
            </w:r>
          </w:p>
        </w:tc>
        <w:tc>
          <w:tcPr>
            <w:tcW w:type="dxa" w:w="1930"/>
            <w:vAlign w:val="top"/>
            <w:tcW w:type="dxa" w:w="1848"/>
          </w:tcPr>
          <w:p>
            <w:pPr>
              <w:spacing w:before="20" w:after="40"/>
            </w:pPr>
            <w:r>
              <w:rPr>
                <w:rFonts w:ascii="Times New Roman" w:hAnsi="Times New Roman"/>
                <w:sz w:val="19"/>
              </w:rPr>
              <w:t>SC-HEALTH-001, SC-HEALTH-002, SC-PRIV-001</w:t>
            </w:r>
          </w:p>
        </w:tc>
        <w:tc>
          <w:tcPr>
            <w:tcW w:type="dxa" w:w="1930"/>
            <w:vAlign w:val="top"/>
            <w:tcW w:type="dxa" w:w="1848"/>
          </w:tcPr>
          <w:p>
            <w:pPr>
              <w:spacing w:before="20" w:after="40"/>
            </w:pPr>
            <w:r>
              <w:rPr>
                <w:rFonts w:ascii="Times New Roman" w:hAnsi="Times New Roman"/>
                <w:sz w:val="19"/>
              </w:rPr>
              <w:t>Some failures may be detectable only when the application next runs or tests the path; **High**</w:t>
            </w:r>
          </w:p>
        </w:tc>
      </w:tr>
      <w:tr>
        <w:trPr>
          <w:cantSplit/>
        </w:trPr>
        <w:tc>
          <w:tcPr>
            <w:tcW w:type="dxa" w:w="1930"/>
            <w:vAlign w:val="top"/>
            <w:tcW w:type="dxa" w:w="1848"/>
          </w:tcPr>
          <w:p>
            <w:pPr>
              <w:spacing w:before="20" w:after="40"/>
            </w:pPr>
            <w:r>
              <w:rPr>
                <w:rFonts w:ascii="Times New Roman" w:hAnsi="Times New Roman"/>
                <w:sz w:val="19"/>
              </w:rPr>
              <w:t>**THR-ENF-004 — Enforcement Race During Application Switching**</w:t>
            </w:r>
          </w:p>
        </w:tc>
        <w:tc>
          <w:tcPr>
            <w:tcW w:type="dxa" w:w="1930"/>
            <w:vAlign w:val="top"/>
            <w:tcW w:type="dxa" w:w="1848"/>
          </w:tcPr>
          <w:p>
            <w:pPr>
              <w:spacing w:before="20" w:after="40"/>
            </w:pPr>
            <w:r>
              <w:rPr>
                <w:rFonts w:ascii="Times New Roman" w:hAnsi="Times New Roman"/>
                <w:sz w:val="19"/>
              </w:rPr>
              <w:t>Rapid switching or relaunch occurs between foreground observation, session validation, and lock presentation</w:t>
            </w:r>
          </w:p>
        </w:tc>
        <w:tc>
          <w:tcPr>
            <w:tcW w:type="dxa" w:w="1930"/>
            <w:vAlign w:val="top"/>
            <w:tcW w:type="dxa" w:w="1848"/>
          </w:tcPr>
          <w:p>
            <w:pPr>
              <w:spacing w:before="20" w:after="40"/>
            </w:pPr>
            <w:r>
              <w:rPr>
                <w:rFonts w:ascii="Times New Roman" w:hAnsi="Times New Roman"/>
                <w:sz w:val="19"/>
              </w:rPr>
              <w:t>Stale target or authorization state permits a bypass</w:t>
            </w:r>
          </w:p>
        </w:tc>
        <w:tc>
          <w:tcPr>
            <w:tcW w:type="dxa" w:w="1930"/>
            <w:vAlign w:val="top"/>
            <w:tcW w:type="dxa" w:w="1848"/>
          </w:tcPr>
          <w:p>
            <w:pPr>
              <w:spacing w:before="20" w:after="40"/>
            </w:pPr>
            <w:r>
              <w:rPr>
                <w:rFonts w:ascii="Times New Roman" w:hAnsi="Times New Roman"/>
                <w:sz w:val="19"/>
              </w:rPr>
              <w:t>SC-ENF-002, SC-SESS-002, SC-UI-003</w:t>
            </w:r>
          </w:p>
        </w:tc>
        <w:tc>
          <w:tcPr>
            <w:tcW w:type="dxa" w:w="1930"/>
            <w:vAlign w:val="top"/>
            <w:tcW w:type="dxa" w:w="1848"/>
          </w:tcPr>
          <w:p>
            <w:pPr>
              <w:spacing w:before="20" w:after="40"/>
            </w:pPr>
            <w:r>
              <w:rPr>
                <w:rFonts w:ascii="Times New Roman" w:hAnsi="Times New Roman"/>
                <w:sz w:val="19"/>
              </w:rPr>
              <w:t>Platform presentation latency remains; logic-based stale-state bypass shall be eliminated; **Medium**</w:t>
            </w:r>
          </w:p>
        </w:tc>
      </w:tr>
      <w:tr>
        <w:trPr>
          <w:cantSplit/>
        </w:trPr>
        <w:tc>
          <w:tcPr>
            <w:tcW w:type="dxa" w:w="1930"/>
            <w:vAlign w:val="top"/>
            <w:tcW w:type="dxa" w:w="1848"/>
          </w:tcPr>
          <w:p>
            <w:pPr>
              <w:spacing w:before="20" w:after="40"/>
            </w:pPr>
            <w:r>
              <w:rPr>
                <w:rFonts w:ascii="Times New Roman" w:hAnsi="Times New Roman"/>
                <w:sz w:val="19"/>
              </w:rPr>
              <w:t>**THR-ENF-005 — Enforcement Bypass Through Detection-Service Restart State**</w:t>
            </w:r>
          </w:p>
        </w:tc>
        <w:tc>
          <w:tcPr>
            <w:tcW w:type="dxa" w:w="1930"/>
            <w:vAlign w:val="top"/>
            <w:tcW w:type="dxa" w:w="1848"/>
          </w:tcPr>
          <w:p>
            <w:pPr>
              <w:spacing w:before="20" w:after="40"/>
            </w:pPr>
            <w:r>
              <w:rPr>
                <w:rFonts w:ascii="Times New Roman" w:hAnsi="Times New Roman"/>
                <w:sz w:val="19"/>
              </w:rPr>
              <w:t>Process recreation or protection-path restart retains a stale target, session, or healthy status</w:t>
            </w:r>
          </w:p>
        </w:tc>
        <w:tc>
          <w:tcPr>
            <w:tcW w:type="dxa" w:w="1930"/>
            <w:vAlign w:val="top"/>
            <w:tcW w:type="dxa" w:w="1848"/>
          </w:tcPr>
          <w:p>
            <w:pPr>
              <w:spacing w:before="20" w:after="40"/>
            </w:pPr>
            <w:r>
              <w:rPr>
                <w:rFonts w:ascii="Times New Roman" w:hAnsi="Times New Roman"/>
                <w:sz w:val="19"/>
              </w:rPr>
              <w:t>Unauthorized access or false protection state follows restart</w:t>
            </w:r>
          </w:p>
        </w:tc>
        <w:tc>
          <w:tcPr>
            <w:tcW w:type="dxa" w:w="1930"/>
            <w:vAlign w:val="top"/>
            <w:tcW w:type="dxa" w:w="1848"/>
          </w:tcPr>
          <w:p>
            <w:pPr>
              <w:spacing w:before="20" w:after="40"/>
            </w:pPr>
            <w:r>
              <w:rPr>
                <w:rFonts w:ascii="Times New Roman" w:hAnsi="Times New Roman"/>
                <w:sz w:val="19"/>
              </w:rPr>
              <w:t>SC-SESS-003, SC-LIFE-001, SC-HEALTH-001</w:t>
            </w:r>
          </w:p>
        </w:tc>
        <w:tc>
          <w:tcPr>
            <w:tcW w:type="dxa" w:w="1930"/>
            <w:vAlign w:val="top"/>
            <w:tcW w:type="dxa" w:w="1848"/>
          </w:tcPr>
          <w:p>
            <w:pPr>
              <w:spacing w:before="20" w:after="40"/>
            </w:pPr>
            <w:r>
              <w:rPr>
                <w:rFonts w:ascii="Times New Roman" w:hAnsi="Times New Roman"/>
                <w:sz w:val="19"/>
              </w:rPr>
              <w:t>Android may delay restart; **Medium**</w:t>
            </w:r>
          </w:p>
        </w:tc>
      </w:tr>
      <w:tr>
        <w:trPr>
          <w:cantSplit/>
        </w:trPr>
        <w:tc>
          <w:tcPr>
            <w:tcW w:type="dxa" w:w="1930"/>
            <w:vAlign w:val="top"/>
            <w:tcW w:type="dxa" w:w="1848"/>
          </w:tcPr>
          <w:p>
            <w:pPr>
              <w:spacing w:before="20" w:after="40"/>
            </w:pPr>
            <w:r>
              <w:rPr>
                <w:rFonts w:ascii="Times New Roman" w:hAnsi="Times New Roman"/>
                <w:sz w:val="19"/>
              </w:rPr>
              <w:t>**THR-ENF-006 — Enforcement Availability Failure**</w:t>
            </w:r>
          </w:p>
        </w:tc>
        <w:tc>
          <w:tcPr>
            <w:tcW w:type="dxa" w:w="1930"/>
            <w:vAlign w:val="top"/>
            <w:tcW w:type="dxa" w:w="1848"/>
          </w:tcPr>
          <w:p>
            <w:pPr>
              <w:spacing w:before="20" w:after="40"/>
            </w:pPr>
            <w:r>
              <w:rPr>
                <w:rFonts w:ascii="Times New Roman" w:hAnsi="Times New Roman"/>
                <w:sz w:val="19"/>
              </w:rPr>
              <w:t>Usage Access, lock presentation, foreground execution, or another required common capability is unavailable</w:t>
            </w:r>
          </w:p>
        </w:tc>
        <w:tc>
          <w:tcPr>
            <w:tcW w:type="dxa" w:w="1930"/>
            <w:vAlign w:val="top"/>
            <w:tcW w:type="dxa" w:w="1848"/>
          </w:tcPr>
          <w:p>
            <w:pPr>
              <w:spacing w:before="20" w:after="40"/>
            </w:pPr>
            <w:r>
              <w:rPr>
                <w:rFonts w:ascii="Times New Roman" w:hAnsi="Times New Roman"/>
                <w:sz w:val="19"/>
              </w:rPr>
              <w:t>Protected applications cannot be reliably intercepted</w:t>
            </w:r>
          </w:p>
        </w:tc>
        <w:tc>
          <w:tcPr>
            <w:tcW w:type="dxa" w:w="1930"/>
            <w:vAlign w:val="top"/>
            <w:tcW w:type="dxa" w:w="1848"/>
          </w:tcPr>
          <w:p>
            <w:pPr>
              <w:spacing w:before="20" w:after="40"/>
            </w:pPr>
            <w:r>
              <w:rPr>
                <w:rFonts w:ascii="Times New Roman" w:hAnsi="Times New Roman"/>
                <w:sz w:val="19"/>
              </w:rPr>
              <w:t>SC-ENF-001, SC-ENF-003, SC-HEALTH-001, SC-LIFE-002</w:t>
            </w:r>
          </w:p>
        </w:tc>
        <w:tc>
          <w:tcPr>
            <w:tcW w:type="dxa" w:w="1930"/>
            <w:vAlign w:val="top"/>
            <w:tcW w:type="dxa" w:w="1848"/>
          </w:tcPr>
          <w:p>
            <w:pPr>
              <w:spacing w:before="20" w:after="40"/>
            </w:pPr>
            <w:r>
              <w:rPr>
                <w:rFonts w:ascii="Times New Roman" w:hAnsi="Times New Roman"/>
                <w:sz w:val="19"/>
              </w:rPr>
              <w:t>Ordinary applications cannot guarantee continuous execution; **High**</w:t>
            </w:r>
          </w:p>
        </w:tc>
      </w:tr>
    </w:tbl>
    <w:p>
      <w:pPr>
        <w:pStyle w:val="Heading2"/>
        <w:jc w:val="left"/>
      </w:pPr>
      <w:r>
        <w:t>5.6 Session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**THR-SES-001 — Unauthorized Session Creation**</w:t>
            </w:r>
          </w:p>
        </w:tc>
        <w:tc>
          <w:tcPr>
            <w:tcW w:type="dxa" w:w="1930"/>
            <w:vAlign w:val="top"/>
            <w:tcW w:type="dxa" w:w="1848"/>
          </w:tcPr>
          <w:p>
            <w:pPr>
              <w:spacing w:before="20" w:after="40"/>
            </w:pPr>
            <w:r>
              <w:rPr>
                <w:rFonts w:ascii="Times New Roman" w:hAnsi="Times New Roman"/>
                <w:sz w:val="19"/>
              </w:rPr>
              <w:t>A visible screen, diagnostic state, pending biometric request, error, or crafted component invocation is treated as an authenticated session</w:t>
            </w:r>
          </w:p>
        </w:tc>
        <w:tc>
          <w:tcPr>
            <w:tcW w:type="dxa" w:w="1930"/>
            <w:vAlign w:val="top"/>
            <w:tcW w:type="dxa" w:w="1848"/>
          </w:tcPr>
          <w:p>
            <w:pPr>
              <w:spacing w:before="20" w:after="40"/>
            </w:pPr>
            <w:r>
              <w:rPr>
                <w:rFonts w:ascii="Times New Roman" w:hAnsi="Times New Roman"/>
                <w:sz w:val="19"/>
              </w:rPr>
              <w:t>A protected application may become accessible without valid authorization</w:t>
            </w:r>
          </w:p>
        </w:tc>
        <w:tc>
          <w:tcPr>
            <w:tcW w:type="dxa" w:w="1930"/>
            <w:vAlign w:val="top"/>
            <w:tcW w:type="dxa" w:w="1848"/>
          </w:tcPr>
          <w:p>
            <w:pPr>
              <w:spacing w:before="20" w:after="40"/>
            </w:pPr>
            <w:r>
              <w:rPr>
                <w:rFonts w:ascii="Times New Roman" w:hAnsi="Times New Roman"/>
                <w:sz w:val="19"/>
              </w:rPr>
              <w:t>SC-SESS-001, SC-COMP-001, SC-UI-003</w:t>
            </w:r>
          </w:p>
        </w:tc>
        <w:tc>
          <w:tcPr>
            <w:tcW w:type="dxa" w:w="1930"/>
            <w:vAlign w:val="top"/>
            <w:tcW w:type="dxa" w:w="1848"/>
          </w:tcPr>
          <w:p>
            <w:pPr>
              <w:spacing w:before="20" w:after="40"/>
            </w:pPr>
            <w:r>
              <w:rPr>
                <w:rFonts w:ascii="Times New Roman" w:hAnsi="Times New Roman"/>
                <w:sz w:val="19"/>
              </w:rPr>
              <w:t>Residual risk is **Low** after negative-path verification</w:t>
            </w:r>
          </w:p>
        </w:tc>
      </w:tr>
      <w:tr>
        <w:trPr>
          <w:cantSplit/>
        </w:trPr>
        <w:tc>
          <w:tcPr>
            <w:tcW w:type="dxa" w:w="1930"/>
            <w:vAlign w:val="top"/>
            <w:tcW w:type="dxa" w:w="1848"/>
          </w:tcPr>
          <w:p>
            <w:pPr>
              <w:spacing w:before="20" w:after="40"/>
            </w:pPr>
            <w:r>
              <w:rPr>
                <w:rFonts w:ascii="Times New Roman" w:hAnsi="Times New Roman"/>
                <w:sz w:val="19"/>
              </w:rPr>
              <w:t>**THR-SES-002 — Session Extension Beyond Policy**</w:t>
            </w:r>
          </w:p>
        </w:tc>
        <w:tc>
          <w:tcPr>
            <w:tcW w:type="dxa" w:w="1930"/>
            <w:vAlign w:val="top"/>
            <w:tcW w:type="dxa" w:w="1848"/>
          </w:tcPr>
          <w:p>
            <w:pPr>
              <w:spacing w:before="20" w:after="40"/>
            </w:pPr>
            <w:r>
              <w:rPr>
                <w:rFonts w:ascii="Times New Roman" w:hAnsi="Times New Roman"/>
                <w:sz w:val="19"/>
              </w:rPr>
              <w:t>Time handling, screen transitions, repeated foreground events, or background/foreground cycling refreshes the session incorrectly</w:t>
            </w:r>
          </w:p>
        </w:tc>
        <w:tc>
          <w:tcPr>
            <w:tcW w:type="dxa" w:w="1930"/>
            <w:vAlign w:val="top"/>
            <w:tcW w:type="dxa" w:w="1848"/>
          </w:tcPr>
          <w:p>
            <w:pPr>
              <w:spacing w:before="20" w:after="40"/>
            </w:pPr>
            <w:r>
              <w:rPr>
                <w:rFonts w:ascii="Times New Roman" w:hAnsi="Times New Roman"/>
                <w:sz w:val="19"/>
              </w:rPr>
              <w:t>Access remains authorized longer than the user selected</w:t>
            </w:r>
          </w:p>
        </w:tc>
        <w:tc>
          <w:tcPr>
            <w:tcW w:type="dxa" w:w="1930"/>
            <w:vAlign w:val="top"/>
            <w:tcW w:type="dxa" w:w="1848"/>
          </w:tcPr>
          <w:p>
            <w:pPr>
              <w:spacing w:before="20" w:after="40"/>
            </w:pPr>
            <w:r>
              <w:rPr>
                <w:rFonts w:ascii="Times New Roman" w:hAnsi="Times New Roman"/>
                <w:sz w:val="19"/>
              </w:rPr>
              <w:t>SC-SESS-002, SC-LIFE-001</w:t>
            </w:r>
          </w:p>
        </w:tc>
        <w:tc>
          <w:tcPr>
            <w:tcW w:type="dxa" w:w="1930"/>
            <w:vAlign w:val="top"/>
            <w:tcW w:type="dxa" w:w="1848"/>
          </w:tcPr>
          <w:p>
            <w:pPr>
              <w:spacing w:before="20" w:after="40"/>
            </w:pPr>
            <w:r>
              <w:rPr>
                <w:rFonts w:ascii="Times New Roman" w:hAnsi="Times New Roman"/>
                <w:sz w:val="19"/>
              </w:rPr>
              <w:t>System-clock anomalies require monotonic elapsed-time treatment; **Low** after verification</w:t>
            </w:r>
          </w:p>
        </w:tc>
      </w:tr>
      <w:tr>
        <w:trPr>
          <w:cantSplit/>
        </w:trPr>
        <w:tc>
          <w:tcPr>
            <w:tcW w:type="dxa" w:w="1930"/>
            <w:vAlign w:val="top"/>
            <w:tcW w:type="dxa" w:w="1848"/>
          </w:tcPr>
          <w:p>
            <w:pPr>
              <w:spacing w:before="20" w:after="40"/>
            </w:pPr>
            <w:r>
              <w:rPr>
                <w:rFonts w:ascii="Times New Roman" w:hAnsi="Times New Roman"/>
                <w:sz w:val="19"/>
              </w:rPr>
              <w:t>**THR-SES-003 — Cross-Application Session Confusion**</w:t>
            </w:r>
          </w:p>
        </w:tc>
        <w:tc>
          <w:tcPr>
            <w:tcW w:type="dxa" w:w="1930"/>
            <w:vAlign w:val="top"/>
            <w:tcW w:type="dxa" w:w="1848"/>
          </w:tcPr>
          <w:p>
            <w:pPr>
              <w:spacing w:before="20" w:after="40"/>
            </w:pPr>
            <w:r>
              <w:rPr>
                <w:rFonts w:ascii="Times New Roman" w:hAnsi="Times New Roman"/>
                <w:sz w:val="19"/>
              </w:rPr>
              <w:t>A package-scoped session is applied when expired, applied before authentication, or applied to a different protected application</w:t>
            </w:r>
          </w:p>
        </w:tc>
        <w:tc>
          <w:tcPr>
            <w:tcW w:type="dxa" w:w="1930"/>
            <w:vAlign w:val="top"/>
            <w:tcW w:type="dxa" w:w="1848"/>
          </w:tcPr>
          <w:p>
            <w:pPr>
              <w:spacing w:before="20" w:after="40"/>
            </w:pPr>
            <w:r>
              <w:rPr>
                <w:rFonts w:ascii="Times New Roman" w:hAnsi="Times New Roman"/>
                <w:sz w:val="19"/>
              </w:rPr>
              <w:t>One application receives access outside the defined global policy</w:t>
            </w:r>
          </w:p>
        </w:tc>
        <w:tc>
          <w:tcPr>
            <w:tcW w:type="dxa" w:w="1930"/>
            <w:vAlign w:val="top"/>
            <w:tcW w:type="dxa" w:w="1848"/>
          </w:tcPr>
          <w:p>
            <w:pPr>
              <w:spacing w:before="20" w:after="40"/>
            </w:pPr>
            <w:r>
              <w:rPr>
                <w:rFonts w:ascii="Times New Roman" w:hAnsi="Times New Roman"/>
                <w:sz w:val="19"/>
              </w:rPr>
              <w:t>SC-SESS-001, SC-SESS-002, SC-ENF-002</w:t>
            </w:r>
          </w:p>
        </w:tc>
        <w:tc>
          <w:tcPr>
            <w:tcW w:type="dxa" w:w="1930"/>
            <w:vAlign w:val="top"/>
            <w:tcW w:type="dxa" w:w="1848"/>
          </w:tcPr>
          <w:p>
            <w:pPr>
              <w:spacing w:before="20" w:after="40"/>
            </w:pPr>
            <w:r>
              <w:rPr>
                <w:rFonts w:ascii="Times New Roman" w:hAnsi="Times New Roman"/>
                <w:sz w:val="19"/>
              </w:rPr>
              <w:t>Valid reuse for the same application is permitted only while its session remains valid; cross-application reuse shall be eliminated; **Low**</w:t>
            </w:r>
          </w:p>
        </w:tc>
      </w:tr>
      <w:tr>
        <w:trPr>
          <w:cantSplit/>
        </w:trPr>
        <w:tc>
          <w:tcPr>
            <w:tcW w:type="dxa" w:w="1930"/>
            <w:vAlign w:val="top"/>
            <w:tcW w:type="dxa" w:w="1848"/>
          </w:tcPr>
          <w:p>
            <w:pPr>
              <w:spacing w:before="20" w:after="40"/>
            </w:pPr>
            <w:r>
              <w:rPr>
                <w:rFonts w:ascii="Times New Roman" w:hAnsi="Times New Roman"/>
                <w:sz w:val="19"/>
              </w:rPr>
              <w:t>**THR-SES-004 — Session Persistence Across Reboot or Process Death**</w:t>
            </w:r>
          </w:p>
        </w:tc>
        <w:tc>
          <w:tcPr>
            <w:tcW w:type="dxa" w:w="1930"/>
            <w:vAlign w:val="top"/>
            <w:tcW w:type="dxa" w:w="1848"/>
          </w:tcPr>
          <w:p>
            <w:pPr>
              <w:spacing w:before="20" w:after="40"/>
            </w:pPr>
            <w:r>
              <w:rPr>
                <w:rFonts w:ascii="Times New Roman" w:hAnsi="Times New Roman"/>
                <w:sz w:val="19"/>
              </w:rPr>
              <w:t>Authorization is written to storage or reconstructed after restart</w:t>
            </w:r>
          </w:p>
        </w:tc>
        <w:tc>
          <w:tcPr>
            <w:tcW w:type="dxa" w:w="1930"/>
            <w:vAlign w:val="top"/>
            <w:tcW w:type="dxa" w:w="1848"/>
          </w:tcPr>
          <w:p>
            <w:pPr>
              <w:spacing w:before="20" w:after="40"/>
            </w:pPr>
            <w:r>
              <w:rPr>
                <w:rFonts w:ascii="Times New Roman" w:hAnsi="Times New Roman"/>
                <w:sz w:val="19"/>
              </w:rPr>
              <w:t>Protected applications open without fresh authentication</w:t>
            </w:r>
          </w:p>
        </w:tc>
        <w:tc>
          <w:tcPr>
            <w:tcW w:type="dxa" w:w="1930"/>
            <w:vAlign w:val="top"/>
            <w:tcW w:type="dxa" w:w="1848"/>
          </w:tcPr>
          <w:p>
            <w:pPr>
              <w:spacing w:before="20" w:after="40"/>
            </w:pPr>
            <w:r>
              <w:rPr>
                <w:rFonts w:ascii="Times New Roman" w:hAnsi="Times New Roman"/>
                <w:sz w:val="19"/>
              </w:rPr>
              <w:t>SC-SESS-003, SC-LIFE-001, SC-DATA-003</w:t>
            </w:r>
          </w:p>
        </w:tc>
        <w:tc>
          <w:tcPr>
            <w:tcW w:type="dxa" w:w="1930"/>
            <w:vAlign w:val="top"/>
            <w:tcW w:type="dxa" w:w="1848"/>
          </w:tcPr>
          <w:p>
            <w:pPr>
              <w:spacing w:before="20" w:after="40"/>
            </w:pPr>
            <w:r>
              <w:rPr>
                <w:rFonts w:ascii="Times New Roman" w:hAnsi="Times New Roman"/>
                <w:sz w:val="19"/>
              </w:rPr>
              <w:t>Residual risk is **Low** within the supported boundary</w:t>
            </w:r>
          </w:p>
        </w:tc>
      </w:tr>
    </w:tbl>
    <w:p>
      <w:pPr>
        <w:pStyle w:val="Heading2"/>
        <w:jc w:val="left"/>
      </w:pPr>
      <w:r>
        <w:t>5.7 Cryptographic Storage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**THR-CRYPTO-001 — Master Key Compromise**</w:t>
            </w:r>
          </w:p>
        </w:tc>
        <w:tc>
          <w:tcPr>
            <w:tcW w:type="dxa" w:w="1930"/>
            <w:vAlign w:val="top"/>
            <w:tcW w:type="dxa" w:w="1848"/>
          </w:tcPr>
          <w:p>
            <w:pPr>
              <w:spacing w:before="20" w:after="40"/>
            </w:pPr>
            <w:r>
              <w:rPr>
                <w:rFonts w:ascii="Times New Roman" w:hAnsi="Times New Roman"/>
                <w:sz w:val="19"/>
              </w:rPr>
              <w:t>Keystore-protected key material is exposed, substituted, or used outside its intended purpose</w:t>
            </w:r>
          </w:p>
        </w:tc>
        <w:tc>
          <w:tcPr>
            <w:tcW w:type="dxa" w:w="1930"/>
            <w:vAlign w:val="top"/>
            <w:tcW w:type="dxa" w:w="1848"/>
          </w:tcPr>
          <w:p>
            <w:pPr>
              <w:spacing w:before="20" w:after="40"/>
            </w:pPr>
            <w:r>
              <w:rPr>
                <w:rFonts w:ascii="Times New Roman" w:hAnsi="Times New Roman"/>
                <w:sz w:val="19"/>
              </w:rPr>
              <w:t>Database-key protection and local confidentiality may fail</w:t>
            </w:r>
          </w:p>
        </w:tc>
        <w:tc>
          <w:tcPr>
            <w:tcW w:type="dxa" w:w="1930"/>
            <w:vAlign w:val="top"/>
            <w:tcW w:type="dxa" w:w="1848"/>
          </w:tcPr>
          <w:p>
            <w:pPr>
              <w:spacing w:before="20" w:after="40"/>
            </w:pPr>
            <w:r>
              <w:rPr>
                <w:rFonts w:ascii="Times New Roman" w:hAnsi="Times New Roman"/>
                <w:sz w:val="19"/>
              </w:rPr>
              <w:t>SC-DATA-002, SC-DATA-005</w:t>
            </w:r>
          </w:p>
        </w:tc>
        <w:tc>
          <w:tcPr>
            <w:tcW w:type="dxa" w:w="1930"/>
            <w:vAlign w:val="top"/>
            <w:tcW w:type="dxa" w:w="1848"/>
          </w:tcPr>
          <w:p>
            <w:pPr>
              <w:spacing w:before="20" w:after="40"/>
            </w:pPr>
            <w:r>
              <w:rPr>
                <w:rFonts w:ascii="Times New Roman" w:hAnsi="Times New Roman"/>
                <w:sz w:val="19"/>
              </w:rPr>
              <w:t>Root/system or Keystore compromise remains outside the guarantee; **Critical** outside the supported boundary</w:t>
            </w:r>
          </w:p>
        </w:tc>
      </w:tr>
      <w:tr>
        <w:trPr>
          <w:cantSplit/>
        </w:trPr>
        <w:tc>
          <w:tcPr>
            <w:tcW w:type="dxa" w:w="1930"/>
            <w:vAlign w:val="top"/>
            <w:tcW w:type="dxa" w:w="1848"/>
          </w:tcPr>
          <w:p>
            <w:pPr>
              <w:spacing w:before="20" w:after="40"/>
            </w:pPr>
            <w:r>
              <w:rPr>
                <w:rFonts w:ascii="Times New Roman" w:hAnsi="Times New Roman"/>
                <w:sz w:val="19"/>
              </w:rPr>
              <w:t>**THR-CRYPTO-002 — Database Passphrase Compromise**</w:t>
            </w:r>
          </w:p>
        </w:tc>
        <w:tc>
          <w:tcPr>
            <w:tcW w:type="dxa" w:w="1930"/>
            <w:vAlign w:val="top"/>
            <w:tcW w:type="dxa" w:w="1848"/>
          </w:tcPr>
          <w:p>
            <w:pPr>
              <w:spacing w:before="20" w:after="40"/>
            </w:pPr>
            <w:r>
              <w:rPr>
                <w:rFonts w:ascii="Times New Roman" w:hAnsi="Times New Roman"/>
                <w:sz w:val="19"/>
              </w:rPr>
              <w:t>The database secret is stored beside the database, logged, embedded, exported, or retained in an unsafe form</w:t>
            </w:r>
          </w:p>
        </w:tc>
        <w:tc>
          <w:tcPr>
            <w:tcW w:type="dxa" w:w="1930"/>
            <w:vAlign w:val="top"/>
            <w:tcW w:type="dxa" w:w="1848"/>
          </w:tcPr>
          <w:p>
            <w:pPr>
              <w:spacing w:before="20" w:after="40"/>
            </w:pPr>
            <w:r>
              <w:rPr>
                <w:rFonts w:ascii="Times New Roman" w:hAnsi="Times New Roman"/>
                <w:sz w:val="19"/>
              </w:rPr>
              <w:t>Protected configuration becomes readable offline</w:t>
            </w:r>
          </w:p>
        </w:tc>
        <w:tc>
          <w:tcPr>
            <w:tcW w:type="dxa" w:w="1930"/>
            <w:vAlign w:val="top"/>
            <w:tcW w:type="dxa" w:w="1848"/>
          </w:tcPr>
          <w:p>
            <w:pPr>
              <w:spacing w:before="20" w:after="40"/>
            </w:pPr>
            <w:r>
              <w:rPr>
                <w:rFonts w:ascii="Times New Roman" w:hAnsi="Times New Roman"/>
                <w:sz w:val="19"/>
              </w:rPr>
              <w:t>SC-DATA-001, SC-DATA-002, SC-PRIV-002</w:t>
            </w:r>
          </w:p>
        </w:tc>
        <w:tc>
          <w:tcPr>
            <w:tcW w:type="dxa" w:w="1930"/>
            <w:vAlign w:val="top"/>
            <w:tcW w:type="dxa" w:w="1848"/>
          </w:tcPr>
          <w:p>
            <w:pPr>
              <w:spacing w:before="20" w:after="40"/>
            </w:pPr>
            <w:r>
              <w:rPr>
                <w:rFonts w:ascii="Times New Roman" w:hAnsi="Times New Roman"/>
                <w:sz w:val="19"/>
              </w:rPr>
              <w:t>Runtime extraction by a rooted attacker remains; **Medium** within the supported boundary</w:t>
            </w:r>
          </w:p>
        </w:tc>
      </w:tr>
      <w:tr>
        <w:trPr>
          <w:cantSplit/>
        </w:trPr>
        <w:tc>
          <w:tcPr>
            <w:tcW w:type="dxa" w:w="1930"/>
            <w:vAlign w:val="top"/>
            <w:tcW w:type="dxa" w:w="1848"/>
          </w:tcPr>
          <w:p>
            <w:pPr>
              <w:spacing w:before="20" w:after="40"/>
            </w:pPr>
            <w:r>
              <w:rPr>
                <w:rFonts w:ascii="Times New Roman" w:hAnsi="Times New Roman"/>
                <w:sz w:val="19"/>
              </w:rPr>
              <w:t>**THR-CRYPTO-004 — Cryptographic Key Reuse or Derivation Error**</w:t>
            </w:r>
          </w:p>
        </w:tc>
        <w:tc>
          <w:tcPr>
            <w:tcW w:type="dxa" w:w="1930"/>
            <w:vAlign w:val="top"/>
            <w:tcW w:type="dxa" w:w="1848"/>
          </w:tcPr>
          <w:p>
            <w:pPr>
              <w:spacing w:before="20" w:after="40"/>
            </w:pPr>
            <w:r>
              <w:rPr>
                <w:rFonts w:ascii="Times New Roman" w:hAnsi="Times New Roman"/>
                <w:sz w:val="19"/>
              </w:rPr>
              <w:t>The PIN verifier, database secret, or Keystore key is reused for a different purpose or derived through an unsafe relationship</w:t>
            </w:r>
          </w:p>
        </w:tc>
        <w:tc>
          <w:tcPr>
            <w:tcW w:type="dxa" w:w="1930"/>
            <w:vAlign w:val="top"/>
            <w:tcW w:type="dxa" w:w="1848"/>
          </w:tcPr>
          <w:p>
            <w:pPr>
              <w:spacing w:before="20" w:after="40"/>
            </w:pPr>
            <w:r>
              <w:rPr>
                <w:rFonts w:ascii="Times New Roman" w:hAnsi="Times New Roman"/>
                <w:sz w:val="19"/>
              </w:rPr>
              <w:t>Compromise of one secret weakens another boundary</w:t>
            </w:r>
          </w:p>
        </w:tc>
        <w:tc>
          <w:tcPr>
            <w:tcW w:type="dxa" w:w="1930"/>
            <w:vAlign w:val="top"/>
            <w:tcW w:type="dxa" w:w="1848"/>
          </w:tcPr>
          <w:p>
            <w:pPr>
              <w:spacing w:before="20" w:after="40"/>
            </w:pPr>
            <w:r>
              <w:rPr>
                <w:rFonts w:ascii="Times New Roman" w:hAnsi="Times New Roman"/>
                <w:sz w:val="19"/>
              </w:rPr>
              <w:t>SC-DATA-002, SC-DATA-005</w:t>
            </w:r>
          </w:p>
        </w:tc>
        <w:tc>
          <w:tcPr>
            <w:tcW w:type="dxa" w:w="1930"/>
            <w:vAlign w:val="top"/>
            <w:tcW w:type="dxa" w:w="1848"/>
          </w:tcPr>
          <w:p>
            <w:pPr>
              <w:spacing w:before="20" w:after="40"/>
            </w:pPr>
            <w:r>
              <w:rPr>
                <w:rFonts w:ascii="Times New Roman" w:hAnsi="Times New Roman"/>
                <w:sz w:val="19"/>
              </w:rPr>
              <w:t>Residual risk is **Low** after design and storage verification</w:t>
            </w:r>
          </w:p>
        </w:tc>
      </w:tr>
      <w:tr>
        <w:trPr>
          <w:cantSplit/>
        </w:trPr>
        <w:tc>
          <w:tcPr>
            <w:tcW w:type="dxa" w:w="1930"/>
            <w:vAlign w:val="top"/>
            <w:tcW w:type="dxa" w:w="1848"/>
          </w:tcPr>
          <w:p>
            <w:pPr>
              <w:spacing w:before="20" w:after="40"/>
            </w:pPr>
            <w:r>
              <w:rPr>
                <w:rFonts w:ascii="Times New Roman" w:hAnsi="Times New Roman"/>
                <w:sz w:val="19"/>
              </w:rPr>
              <w:t>**THR-CRYPTO-005 — Keystore Invalidation**</w:t>
            </w:r>
          </w:p>
        </w:tc>
        <w:tc>
          <w:tcPr>
            <w:tcW w:type="dxa" w:w="1930"/>
            <w:vAlign w:val="top"/>
            <w:tcW w:type="dxa" w:w="1848"/>
          </w:tcPr>
          <w:p>
            <w:pPr>
              <w:spacing w:before="20" w:after="40"/>
            </w:pPr>
            <w:r>
              <w:rPr>
                <w:rFonts w:ascii="Times New Roman" w:hAnsi="Times New Roman"/>
                <w:sz w:val="19"/>
              </w:rPr>
              <w:t>Device security changes, platform behavior, or key loss makes protected key material unusable</w:t>
            </w:r>
          </w:p>
        </w:tc>
        <w:tc>
          <w:tcPr>
            <w:tcW w:type="dxa" w:w="1930"/>
            <w:vAlign w:val="top"/>
            <w:tcW w:type="dxa" w:w="1848"/>
          </w:tcPr>
          <w:p>
            <w:pPr>
              <w:spacing w:before="20" w:after="40"/>
            </w:pPr>
            <w:r>
              <w:rPr>
                <w:rFonts w:ascii="Times New Roman" w:hAnsi="Times New Roman"/>
                <w:sz w:val="19"/>
              </w:rPr>
              <w:t>Configuration becomes unreadable; unsafe error handling may reset or bypass protection</w:t>
            </w:r>
          </w:p>
        </w:tc>
        <w:tc>
          <w:tcPr>
            <w:tcW w:type="dxa" w:w="1930"/>
            <w:vAlign w:val="top"/>
            <w:tcW w:type="dxa" w:w="1848"/>
          </w:tcPr>
          <w:p>
            <w:pPr>
              <w:spacing w:before="20" w:after="40"/>
            </w:pPr>
            <w:r>
              <w:rPr>
                <w:rFonts w:ascii="Times New Roman" w:hAnsi="Times New Roman"/>
                <w:sz w:val="19"/>
              </w:rPr>
              <w:t>SC-DATA-004, SC-DATA-005, SC-RESET-001, SC-HEALTH-001</w:t>
            </w:r>
          </w:p>
        </w:tc>
        <w:tc>
          <w:tcPr>
            <w:tcW w:type="dxa" w:w="1930"/>
            <w:vAlign w:val="top"/>
            <w:tcW w:type="dxa" w:w="1848"/>
          </w:tcPr>
          <w:p>
            <w:pPr>
              <w:spacing w:before="20" w:after="40"/>
            </w:pPr>
            <w:r>
              <w:rPr>
                <w:rFonts w:ascii="Times New Roman" w:hAnsi="Times New Roman"/>
                <w:sz w:val="19"/>
              </w:rPr>
              <w:t>Data may be irrecoverable because backup is absent; **High** availability risk, **Low** authorization-bypass risk after controls</w:t>
            </w:r>
          </w:p>
        </w:tc>
      </w:tr>
    </w:tbl>
    <w:p>
      <w:pPr>
        <w:pStyle w:val="Heading2"/>
        <w:jc w:val="left"/>
      </w:pPr>
      <w:r>
        <w:t>5.8 User-Interface and Component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**THR-UI-001 — Tapjacking or Obscured Authentication Input**</w:t>
            </w:r>
          </w:p>
        </w:tc>
        <w:tc>
          <w:tcPr>
            <w:tcW w:type="dxa" w:w="1930"/>
            <w:vAlign w:val="top"/>
            <w:tcW w:type="dxa" w:w="1848"/>
          </w:tcPr>
          <w:p>
            <w:pPr>
              <w:spacing w:before="20" w:after="40"/>
            </w:pPr>
            <w:r>
              <w:rPr>
                <w:rFonts w:ascii="Times New Roman" w:hAnsi="Times New Roman"/>
                <w:sz w:val="19"/>
              </w:rPr>
              <w:t>A hostile overlay changes what the user sees or receives touches intended for another control</w:t>
            </w:r>
          </w:p>
        </w:tc>
        <w:tc>
          <w:tcPr>
            <w:tcW w:type="dxa" w:w="1930"/>
            <w:vAlign w:val="top"/>
            <w:tcW w:type="dxa" w:w="1848"/>
          </w:tcPr>
          <w:p>
            <w:pPr>
              <w:spacing w:before="20" w:after="40"/>
            </w:pPr>
            <w:r>
              <w:rPr>
                <w:rFonts w:ascii="Times New Roman" w:hAnsi="Times New Roman"/>
                <w:sz w:val="19"/>
              </w:rPr>
              <w:t>The user may disclose a PIN or confirm a protection-reducing action</w:t>
            </w:r>
          </w:p>
        </w:tc>
        <w:tc>
          <w:tcPr>
            <w:tcW w:type="dxa" w:w="1930"/>
            <w:vAlign w:val="top"/>
            <w:tcW w:type="dxa" w:w="1848"/>
          </w:tcPr>
          <w:p>
            <w:pPr>
              <w:spacing w:before="20" w:after="40"/>
            </w:pPr>
            <w:r>
              <w:rPr>
                <w:rFonts w:ascii="Times New Roman" w:hAnsi="Times New Roman"/>
                <w:sz w:val="19"/>
              </w:rPr>
              <w:t>SC-UI-001, SC-UI-002</w:t>
            </w:r>
          </w:p>
        </w:tc>
        <w:tc>
          <w:tcPr>
            <w:tcW w:type="dxa" w:w="1930"/>
            <w:vAlign w:val="top"/>
            <w:tcW w:type="dxa" w:w="1848"/>
          </w:tcPr>
          <w:p>
            <w:pPr>
              <w:spacing w:before="20" w:after="40"/>
            </w:pPr>
            <w:r>
              <w:rPr>
                <w:rFonts w:ascii="Times New Roman" w:hAnsi="Times New Roman"/>
                <w:sz w:val="19"/>
              </w:rPr>
              <w:t>Android-granted overlay privileges cannot be completely neutralized; **Medium**</w:t>
            </w:r>
          </w:p>
        </w:tc>
      </w:tr>
      <w:tr>
        <w:trPr>
          <w:cantSplit/>
        </w:trPr>
        <w:tc>
          <w:tcPr>
            <w:tcW w:type="dxa" w:w="1930"/>
            <w:vAlign w:val="top"/>
            <w:tcW w:type="dxa" w:w="1848"/>
          </w:tcPr>
          <w:p>
            <w:pPr>
              <w:spacing w:before="20" w:after="40"/>
            </w:pPr>
            <w:r>
              <w:rPr>
                <w:rFonts w:ascii="Times New Roman" w:hAnsi="Times New Roman"/>
                <w:sz w:val="19"/>
              </w:rPr>
              <w:t>**THR-UI-002 — UI Spoofing**</w:t>
            </w:r>
          </w:p>
        </w:tc>
        <w:tc>
          <w:tcPr>
            <w:tcW w:type="dxa" w:w="1930"/>
            <w:vAlign w:val="top"/>
            <w:tcW w:type="dxa" w:w="1848"/>
          </w:tcPr>
          <w:p>
            <w:pPr>
              <w:spacing w:before="20" w:after="40"/>
            </w:pPr>
            <w:r>
              <w:rPr>
                <w:rFonts w:ascii="Times New Roman" w:hAnsi="Times New Roman"/>
                <w:sz w:val="19"/>
              </w:rPr>
              <w:t>Another application imitates the App Lock screen or places misleading content over it</w:t>
            </w:r>
          </w:p>
        </w:tc>
        <w:tc>
          <w:tcPr>
            <w:tcW w:type="dxa" w:w="1930"/>
            <w:vAlign w:val="top"/>
            <w:tcW w:type="dxa" w:w="1848"/>
          </w:tcPr>
          <w:p>
            <w:pPr>
              <w:spacing w:before="20" w:after="40"/>
            </w:pPr>
            <w:r>
              <w:rPr>
                <w:rFonts w:ascii="Times New Roman" w:hAnsi="Times New Roman"/>
                <w:sz w:val="19"/>
              </w:rPr>
              <w:t>The user may enter the PIN into a hostile interface</w:t>
            </w:r>
          </w:p>
        </w:tc>
        <w:tc>
          <w:tcPr>
            <w:tcW w:type="dxa" w:w="1930"/>
            <w:vAlign w:val="top"/>
            <w:tcW w:type="dxa" w:w="1848"/>
          </w:tcPr>
          <w:p>
            <w:pPr>
              <w:spacing w:before="20" w:after="40"/>
            </w:pPr>
            <w:r>
              <w:rPr>
                <w:rFonts w:ascii="Times New Roman" w:hAnsi="Times New Roman"/>
                <w:sz w:val="19"/>
              </w:rPr>
              <w:t>SC-UI-001, SC-PRIV-001</w:t>
            </w:r>
          </w:p>
        </w:tc>
        <w:tc>
          <w:tcPr>
            <w:tcW w:type="dxa" w:w="1930"/>
            <w:vAlign w:val="top"/>
            <w:tcW w:type="dxa" w:w="1848"/>
          </w:tcPr>
          <w:p>
            <w:pPr>
              <w:spacing w:before="20" w:after="40"/>
            </w:pPr>
            <w:r>
              <w:rPr>
                <w:rFonts w:ascii="Times New Roman" w:hAnsi="Times New Roman"/>
                <w:sz w:val="19"/>
              </w:rPr>
              <w:t>The application cannot prevent another app from drawing a look-alike screen; **Medium**</w:t>
            </w:r>
          </w:p>
        </w:tc>
      </w:tr>
      <w:tr>
        <w:trPr>
          <w:cantSplit/>
        </w:trPr>
        <w:tc>
          <w:tcPr>
            <w:tcW w:type="dxa" w:w="1930"/>
            <w:vAlign w:val="top"/>
            <w:tcW w:type="dxa" w:w="1848"/>
          </w:tcPr>
          <w:p>
            <w:pPr>
              <w:spacing w:before="20" w:after="40"/>
            </w:pPr>
            <w:r>
              <w:rPr>
                <w:rFonts w:ascii="Times New Roman" w:hAnsi="Times New Roman"/>
                <w:sz w:val="19"/>
              </w:rPr>
              <w:t>**THR-UI-003 — Touch or Event Injection**</w:t>
            </w:r>
          </w:p>
        </w:tc>
        <w:tc>
          <w:tcPr>
            <w:tcW w:type="dxa" w:w="1930"/>
            <w:vAlign w:val="top"/>
            <w:tcW w:type="dxa" w:w="1848"/>
          </w:tcPr>
          <w:p>
            <w:pPr>
              <w:spacing w:before="20" w:after="40"/>
            </w:pPr>
            <w:r>
              <w:rPr>
                <w:rFonts w:ascii="Times New Roman" w:hAnsi="Times New Roman"/>
                <w:sz w:val="19"/>
              </w:rPr>
              <w:t>A hostile Accessibility service, automation interface, or crafted input invokes authentication or destructive controls</w:t>
            </w:r>
          </w:p>
        </w:tc>
        <w:tc>
          <w:tcPr>
            <w:tcW w:type="dxa" w:w="1930"/>
            <w:vAlign w:val="top"/>
            <w:tcW w:type="dxa" w:w="1848"/>
          </w:tcPr>
          <w:p>
            <w:pPr>
              <w:spacing w:before="20" w:after="40"/>
            </w:pPr>
            <w:r>
              <w:rPr>
                <w:rFonts w:ascii="Times New Roman" w:hAnsi="Times New Roman"/>
                <w:sz w:val="19"/>
              </w:rPr>
              <w:t>Unauthorized action may occur without deliberate user input</w:t>
            </w:r>
          </w:p>
        </w:tc>
        <w:tc>
          <w:tcPr>
            <w:tcW w:type="dxa" w:w="1930"/>
            <w:vAlign w:val="top"/>
            <w:tcW w:type="dxa" w:w="1848"/>
          </w:tcPr>
          <w:p>
            <w:pPr>
              <w:spacing w:before="20" w:after="40"/>
            </w:pPr>
            <w:r>
              <w:rPr>
                <w:rFonts w:ascii="Times New Roman" w:hAnsi="Times New Roman"/>
                <w:sz w:val="19"/>
              </w:rPr>
              <w:t>SC-UI-002, SC-AUTH-001, SC-RESET-001</w:t>
            </w:r>
          </w:p>
        </w:tc>
        <w:tc>
          <w:tcPr>
            <w:tcW w:type="dxa" w:w="1930"/>
            <w:vAlign w:val="top"/>
            <w:tcW w:type="dxa" w:w="1848"/>
          </w:tcPr>
          <w:p>
            <w:pPr>
              <w:spacing w:before="20" w:after="40"/>
            </w:pPr>
            <w:r>
              <w:rPr>
                <w:rFonts w:ascii="Times New Roman" w:hAnsi="Times New Roman"/>
                <w:sz w:val="19"/>
              </w:rPr>
              <w:t>A user-authorized hostile Accessibility service retains elevated platform capability; **High** residual outside best-effort defenses</w:t>
            </w:r>
          </w:p>
        </w:tc>
      </w:tr>
      <w:tr>
        <w:trPr>
          <w:cantSplit/>
        </w:trPr>
        <w:tc>
          <w:tcPr>
            <w:tcW w:type="dxa" w:w="1930"/>
            <w:vAlign w:val="top"/>
            <w:tcW w:type="dxa" w:w="1848"/>
          </w:tcPr>
          <w:p>
            <w:pPr>
              <w:spacing w:before="20" w:after="40"/>
            </w:pPr>
            <w:r>
              <w:rPr>
                <w:rFonts w:ascii="Times New Roman" w:hAnsi="Times New Roman"/>
                <w:sz w:val="19"/>
              </w:rPr>
              <w:t>**THR-UI-004 — Navigation Around Lock Screen**</w:t>
            </w:r>
          </w:p>
        </w:tc>
        <w:tc>
          <w:tcPr>
            <w:tcW w:type="dxa" w:w="1930"/>
            <w:vAlign w:val="top"/>
            <w:tcW w:type="dxa" w:w="1848"/>
          </w:tcPr>
          <w:p>
            <w:pPr>
              <w:spacing w:before="20" w:after="40"/>
            </w:pPr>
            <w:r>
              <w:rPr>
                <w:rFonts w:ascii="Times New Roman" w:hAnsi="Times New Roman"/>
                <w:sz w:val="19"/>
              </w:rPr>
              <w:t>Back, Home, Recents, rotation, multi-window, picture-in-picture, timeout, or interruption reveals protected content or creates authorization</w:t>
            </w:r>
          </w:p>
        </w:tc>
        <w:tc>
          <w:tcPr>
            <w:tcW w:type="dxa" w:w="1930"/>
            <w:vAlign w:val="top"/>
            <w:tcW w:type="dxa" w:w="1848"/>
          </w:tcPr>
          <w:p>
            <w:pPr>
              <w:spacing w:before="20" w:after="40"/>
            </w:pPr>
            <w:r>
              <w:rPr>
                <w:rFonts w:ascii="Times New Roman" w:hAnsi="Times New Roman"/>
                <w:sz w:val="19"/>
              </w:rPr>
              <w:t>Protected application becomes usable without completed authentication</w:t>
            </w:r>
          </w:p>
        </w:tc>
        <w:tc>
          <w:tcPr>
            <w:tcW w:type="dxa" w:w="1930"/>
            <w:vAlign w:val="top"/>
            <w:tcW w:type="dxa" w:w="1848"/>
          </w:tcPr>
          <w:p>
            <w:pPr>
              <w:spacing w:before="20" w:after="40"/>
            </w:pPr>
            <w:r>
              <w:rPr>
                <w:rFonts w:ascii="Times New Roman" w:hAnsi="Times New Roman"/>
                <w:sz w:val="19"/>
              </w:rPr>
              <w:t>SC-UI-003, SC-ENF-003, SC-SESS-001</w:t>
            </w:r>
          </w:p>
        </w:tc>
        <w:tc>
          <w:tcPr>
            <w:tcW w:type="dxa" w:w="1930"/>
            <w:vAlign w:val="top"/>
            <w:tcW w:type="dxa" w:w="1848"/>
          </w:tcPr>
          <w:p>
            <w:pPr>
              <w:spacing w:before="20" w:after="40"/>
            </w:pPr>
            <w:r>
              <w:rPr>
                <w:rFonts w:ascii="Times New Roman" w:hAnsi="Times New Roman"/>
                <w:sz w:val="19"/>
              </w:rPr>
              <w:t>Android window timing may allow a brief visual exposure; **High**</w:t>
            </w:r>
          </w:p>
        </w:tc>
      </w:tr>
      <w:tr>
        <w:trPr>
          <w:cantSplit/>
        </w:trPr>
        <w:tc>
          <w:tcPr>
            <w:tcW w:type="dxa" w:w="1930"/>
            <w:vAlign w:val="top"/>
            <w:tcW w:type="dxa" w:w="1848"/>
          </w:tcPr>
          <w:p>
            <w:pPr>
              <w:spacing w:before="20" w:after="40"/>
            </w:pPr>
            <w:r>
              <w:rPr>
                <w:rFonts w:ascii="Times New Roman" w:hAnsi="Times New Roman"/>
                <w:sz w:val="19"/>
              </w:rPr>
              <w:t>**THR-UI-005 — Screen Capture or Recording**</w:t>
            </w:r>
          </w:p>
        </w:tc>
        <w:tc>
          <w:tcPr>
            <w:tcW w:type="dxa" w:w="1930"/>
            <w:vAlign w:val="top"/>
            <w:tcW w:type="dxa" w:w="1848"/>
          </w:tcPr>
          <w:p>
            <w:pPr>
              <w:spacing w:before="20" w:after="40"/>
            </w:pPr>
            <w:r>
              <w:rPr>
                <w:rFonts w:ascii="Times New Roman" w:hAnsi="Times New Roman"/>
                <w:sz w:val="19"/>
              </w:rPr>
              <w:t>Authentication, protected configuration, or recent-app preview is captured</w:t>
            </w:r>
          </w:p>
        </w:tc>
        <w:tc>
          <w:tcPr>
            <w:tcW w:type="dxa" w:w="1930"/>
            <w:vAlign w:val="top"/>
            <w:tcW w:type="dxa" w:w="1848"/>
          </w:tcPr>
          <w:p>
            <w:pPr>
              <w:spacing w:before="20" w:after="40"/>
            </w:pPr>
            <w:r>
              <w:rPr>
                <w:rFonts w:ascii="Times New Roman" w:hAnsi="Times New Roman"/>
                <w:sz w:val="19"/>
              </w:rPr>
              <w:t>PIN-entry state or protected-application information is disclosed</w:t>
            </w:r>
          </w:p>
        </w:tc>
        <w:tc>
          <w:tcPr>
            <w:tcW w:type="dxa" w:w="1930"/>
            <w:vAlign w:val="top"/>
            <w:tcW w:type="dxa" w:w="1848"/>
          </w:tcPr>
          <w:p>
            <w:pPr>
              <w:spacing w:before="20" w:after="40"/>
            </w:pPr>
            <w:r>
              <w:rPr>
                <w:rFonts w:ascii="Times New Roman" w:hAnsi="Times New Roman"/>
                <w:sz w:val="19"/>
              </w:rPr>
              <w:t>SC-UI-001, SC-PRIV-001</w:t>
            </w:r>
          </w:p>
        </w:tc>
        <w:tc>
          <w:tcPr>
            <w:tcW w:type="dxa" w:w="1930"/>
            <w:vAlign w:val="top"/>
            <w:tcW w:type="dxa" w:w="1848"/>
          </w:tcPr>
          <w:p>
            <w:pPr>
              <w:spacing w:before="20" w:after="40"/>
            </w:pPr>
            <w:r>
              <w:rPr>
                <w:rFonts w:ascii="Times New Roman" w:hAnsi="Times New Roman"/>
                <w:sz w:val="19"/>
              </w:rPr>
              <w:t>External cameras and some privileged system capture are outside control; **Medium**</w:t>
            </w:r>
          </w:p>
        </w:tc>
      </w:tr>
      <w:tr>
        <w:trPr>
          <w:cantSplit/>
        </w:trPr>
        <w:tc>
          <w:tcPr>
            <w:tcW w:type="dxa" w:w="1930"/>
            <w:vAlign w:val="top"/>
            <w:tcW w:type="dxa" w:w="1848"/>
          </w:tcPr>
          <w:p>
            <w:pPr>
              <w:spacing w:before="20" w:after="40"/>
            </w:pPr>
            <w:r>
              <w:rPr>
                <w:rFonts w:ascii="Times New Roman" w:hAnsi="Times New Roman"/>
                <w:sz w:val="19"/>
              </w:rPr>
              <w:t>**THR-IPC-001 — Unauthorized Activity Launch**</w:t>
            </w:r>
          </w:p>
        </w:tc>
        <w:tc>
          <w:tcPr>
            <w:tcW w:type="dxa" w:w="1930"/>
            <w:vAlign w:val="top"/>
            <w:tcW w:type="dxa" w:w="1848"/>
          </w:tcPr>
          <w:p>
            <w:pPr>
              <w:spacing w:before="20" w:after="40"/>
            </w:pPr>
            <w:r>
              <w:rPr>
                <w:rFonts w:ascii="Times New Roman" w:hAnsi="Times New Roman"/>
                <w:sz w:val="19"/>
              </w:rPr>
              <w:t>An external application invokes an App Lock screen directly with crafted input</w:t>
            </w:r>
          </w:p>
        </w:tc>
        <w:tc>
          <w:tcPr>
            <w:tcW w:type="dxa" w:w="1930"/>
            <w:vAlign w:val="top"/>
            <w:tcW w:type="dxa" w:w="1848"/>
          </w:tcPr>
          <w:p>
            <w:pPr>
              <w:spacing w:before="20" w:after="40"/>
            </w:pPr>
            <w:r>
              <w:rPr>
                <w:rFonts w:ascii="Times New Roman" w:hAnsi="Times New Roman"/>
                <w:sz w:val="19"/>
              </w:rPr>
              <w:t>Sensitive screen access, false navigation context, or state change</w:t>
            </w:r>
          </w:p>
        </w:tc>
        <w:tc>
          <w:tcPr>
            <w:tcW w:type="dxa" w:w="1930"/>
            <w:vAlign w:val="top"/>
            <w:tcW w:type="dxa" w:w="1848"/>
          </w:tcPr>
          <w:p>
            <w:pPr>
              <w:spacing w:before="20" w:after="40"/>
            </w:pPr>
            <w:r>
              <w:rPr>
                <w:rFonts w:ascii="Times New Roman" w:hAnsi="Times New Roman"/>
                <w:sz w:val="19"/>
              </w:rPr>
              <w:t>SC-COMP-001, SC-STATE-001</w:t>
            </w:r>
          </w:p>
        </w:tc>
        <w:tc>
          <w:tcPr>
            <w:tcW w:type="dxa" w:w="1930"/>
            <w:vAlign w:val="top"/>
            <w:tcW w:type="dxa" w:w="1848"/>
          </w:tcPr>
          <w:p>
            <w:pPr>
              <w:spacing w:before="20" w:after="40"/>
            </w:pPr>
            <w:r>
              <w:rPr>
                <w:rFonts w:ascii="Times New Roman" w:hAnsi="Times New Roman"/>
                <w:sz w:val="19"/>
              </w:rPr>
              <w:t>Required launcher entry remains externally reachable but shall not confer authorization; **Low**</w:t>
            </w:r>
          </w:p>
        </w:tc>
      </w:tr>
      <w:tr>
        <w:trPr>
          <w:cantSplit/>
        </w:trPr>
        <w:tc>
          <w:tcPr>
            <w:tcW w:type="dxa" w:w="1930"/>
            <w:vAlign w:val="top"/>
            <w:tcW w:type="dxa" w:w="1848"/>
          </w:tcPr>
          <w:p>
            <w:pPr>
              <w:spacing w:before="20" w:after="40"/>
            </w:pPr>
            <w:r>
              <w:rPr>
                <w:rFonts w:ascii="Times New Roman" w:hAnsi="Times New Roman"/>
                <w:sz w:val="19"/>
              </w:rPr>
              <w:t>**THR-IPC-002 — Unauthorized Service Invocation**</w:t>
            </w:r>
          </w:p>
        </w:tc>
        <w:tc>
          <w:tcPr>
            <w:tcW w:type="dxa" w:w="1930"/>
            <w:vAlign w:val="top"/>
            <w:tcW w:type="dxa" w:w="1848"/>
          </w:tcPr>
          <w:p>
            <w:pPr>
              <w:spacing w:before="20" w:after="40"/>
            </w:pPr>
            <w:r>
              <w:rPr>
                <w:rFonts w:ascii="Times New Roman" w:hAnsi="Times New Roman"/>
                <w:sz w:val="19"/>
              </w:rPr>
              <w:t>An external application attempts to start or bind to background protection work</w:t>
            </w:r>
          </w:p>
        </w:tc>
        <w:tc>
          <w:tcPr>
            <w:tcW w:type="dxa" w:w="1930"/>
            <w:vAlign w:val="top"/>
            <w:tcW w:type="dxa" w:w="1848"/>
          </w:tcPr>
          <w:p>
            <w:pPr>
              <w:spacing w:before="20" w:after="40"/>
            </w:pPr>
            <w:r>
              <w:rPr>
                <w:rFonts w:ascii="Times New Roman" w:hAnsi="Times New Roman"/>
                <w:sz w:val="19"/>
              </w:rPr>
              <w:t>Protection state is changed, stopped, or confused</w:t>
            </w:r>
          </w:p>
        </w:tc>
        <w:tc>
          <w:tcPr>
            <w:tcW w:type="dxa" w:w="1930"/>
            <w:vAlign w:val="top"/>
            <w:tcW w:type="dxa" w:w="1848"/>
          </w:tcPr>
          <w:p>
            <w:pPr>
              <w:spacing w:before="20" w:after="40"/>
            </w:pPr>
            <w:r>
              <w:rPr>
                <w:rFonts w:ascii="Times New Roman" w:hAnsi="Times New Roman"/>
                <w:sz w:val="19"/>
              </w:rPr>
              <w:t>SC-COMP-001, SC-HEALTH-001</w:t>
            </w:r>
          </w:p>
        </w:tc>
        <w:tc>
          <w:tcPr>
            <w:tcW w:type="dxa" w:w="1930"/>
            <w:vAlign w:val="top"/>
            <w:tcW w:type="dxa" w:w="1848"/>
          </w:tcPr>
          <w:p>
            <w:pPr>
              <w:spacing w:before="20" w:after="40"/>
            </w:pPr>
            <w:r>
              <w:rPr>
                <w:rFonts w:ascii="Times New Roman" w:hAnsi="Times New Roman"/>
                <w:sz w:val="19"/>
              </w:rPr>
              <w:t>Android system actions remain trusted inputs only within platform rules; **Low**</w:t>
            </w:r>
          </w:p>
        </w:tc>
      </w:tr>
      <w:tr>
        <w:trPr>
          <w:cantSplit/>
        </w:trPr>
        <w:tc>
          <w:tcPr>
            <w:tcW w:type="dxa" w:w="1930"/>
            <w:vAlign w:val="top"/>
            <w:tcW w:type="dxa" w:w="1848"/>
          </w:tcPr>
          <w:p>
            <w:pPr>
              <w:spacing w:before="20" w:after="40"/>
            </w:pPr>
            <w:r>
              <w:rPr>
                <w:rFonts w:ascii="Times New Roman" w:hAnsi="Times New Roman"/>
                <w:sz w:val="19"/>
              </w:rPr>
              <w:t>**THR-IPC-003 — Unauthorized Boot-Event Invocation**</w:t>
            </w:r>
          </w:p>
        </w:tc>
        <w:tc>
          <w:tcPr>
            <w:tcW w:type="dxa" w:w="1930"/>
            <w:vAlign w:val="top"/>
            <w:tcW w:type="dxa" w:w="1848"/>
          </w:tcPr>
          <w:p>
            <w:pPr>
              <w:spacing w:before="20" w:after="40"/>
            </w:pPr>
            <w:r>
              <w:rPr>
                <w:rFonts w:ascii="Times New Roman" w:hAnsi="Times New Roman"/>
                <w:sz w:val="19"/>
              </w:rPr>
              <w:t>A crafted broadcast imitates a startup condition</w:t>
            </w:r>
          </w:p>
        </w:tc>
        <w:tc>
          <w:tcPr>
            <w:tcW w:type="dxa" w:w="1930"/>
            <w:vAlign w:val="top"/>
            <w:tcW w:type="dxa" w:w="1848"/>
          </w:tcPr>
          <w:p>
            <w:pPr>
              <w:spacing w:before="20" w:after="40"/>
            </w:pPr>
            <w:r>
              <w:rPr>
                <w:rFonts w:ascii="Times New Roman" w:hAnsi="Times New Roman"/>
                <w:sz w:val="19"/>
              </w:rPr>
              <w:t>Protection work is triggered in an unsafe state or stale authorization is restored</w:t>
            </w:r>
          </w:p>
        </w:tc>
        <w:tc>
          <w:tcPr>
            <w:tcW w:type="dxa" w:w="1930"/>
            <w:vAlign w:val="top"/>
            <w:tcW w:type="dxa" w:w="1848"/>
          </w:tcPr>
          <w:p>
            <w:pPr>
              <w:spacing w:before="20" w:after="40"/>
            </w:pPr>
            <w:r>
              <w:rPr>
                <w:rFonts w:ascii="Times New Roman" w:hAnsi="Times New Roman"/>
                <w:sz w:val="19"/>
              </w:rPr>
              <w:t>SC-COMP-001, SC-LIFE-002, SC-SESS-003</w:t>
            </w:r>
          </w:p>
        </w:tc>
        <w:tc>
          <w:tcPr>
            <w:tcW w:type="dxa" w:w="1930"/>
            <w:vAlign w:val="top"/>
            <w:tcW w:type="dxa" w:w="1848"/>
          </w:tcPr>
          <w:p>
            <w:pPr>
              <w:spacing w:before="20" w:after="40"/>
            </w:pPr>
            <w:r>
              <w:rPr>
                <w:rFonts w:ascii="Times New Roman" w:hAnsi="Times New Roman"/>
                <w:sz w:val="19"/>
              </w:rPr>
              <w:t>Safe redundant startup may occur but shall not create authorization; **Low**</w:t>
            </w:r>
          </w:p>
        </w:tc>
      </w:tr>
      <w:tr>
        <w:trPr>
          <w:cantSplit/>
        </w:trPr>
        <w:tc>
          <w:tcPr>
            <w:tcW w:type="dxa" w:w="1930"/>
            <w:vAlign w:val="top"/>
            <w:tcW w:type="dxa" w:w="1848"/>
          </w:tcPr>
          <w:p>
            <w:pPr>
              <w:spacing w:before="20" w:after="40"/>
            </w:pPr>
            <w:r>
              <w:rPr>
                <w:rFonts w:ascii="Times New Roman" w:hAnsi="Times New Roman"/>
                <w:sz w:val="19"/>
              </w:rPr>
              <w:t>**THR-ACC-004 — Malicious Peer Accessibility Service**</w:t>
            </w:r>
          </w:p>
        </w:tc>
        <w:tc>
          <w:tcPr>
            <w:tcW w:type="dxa" w:w="1930"/>
            <w:vAlign w:val="top"/>
            <w:tcW w:type="dxa" w:w="1848"/>
          </w:tcPr>
          <w:p>
            <w:pPr>
              <w:spacing w:before="20" w:after="40"/>
            </w:pPr>
            <w:r>
              <w:rPr>
                <w:rFonts w:ascii="Times New Roman" w:hAnsi="Times New Roman"/>
                <w:sz w:val="19"/>
              </w:rPr>
              <w:t>The user has granted another service Accessibility privileges capable of observing or manipulating App Lock UI</w:t>
            </w:r>
          </w:p>
        </w:tc>
        <w:tc>
          <w:tcPr>
            <w:tcW w:type="dxa" w:w="1930"/>
            <w:vAlign w:val="top"/>
            <w:tcW w:type="dxa" w:w="1848"/>
          </w:tcPr>
          <w:p>
            <w:pPr>
              <w:spacing w:before="20" w:after="40"/>
            </w:pPr>
            <w:r>
              <w:rPr>
                <w:rFonts w:ascii="Times New Roman" w:hAnsi="Times New Roman"/>
                <w:sz w:val="19"/>
              </w:rPr>
              <w:t>PIN confidentiality, input integrity, and user intent may be compromised</w:t>
            </w:r>
          </w:p>
        </w:tc>
        <w:tc>
          <w:tcPr>
            <w:tcW w:type="dxa" w:w="1930"/>
            <w:vAlign w:val="top"/>
            <w:tcW w:type="dxa" w:w="1848"/>
          </w:tcPr>
          <w:p>
            <w:pPr>
              <w:spacing w:before="20" w:after="40"/>
            </w:pPr>
            <w:r>
              <w:rPr>
                <w:rFonts w:ascii="Times New Roman" w:hAnsi="Times New Roman"/>
                <w:sz w:val="19"/>
              </w:rPr>
              <w:t>SC-UI-001, SC-UI-002, SC-AUTH-001</w:t>
            </w:r>
          </w:p>
        </w:tc>
        <w:tc>
          <w:tcPr>
            <w:tcW w:type="dxa" w:w="1930"/>
            <w:vAlign w:val="top"/>
            <w:tcW w:type="dxa" w:w="1848"/>
          </w:tcPr>
          <w:p>
            <w:pPr>
              <w:spacing w:before="20" w:after="40"/>
            </w:pPr>
            <w:r>
              <w:rPr>
                <w:rFonts w:ascii="Times New Roman" w:hAnsi="Times New Roman"/>
                <w:sz w:val="19"/>
              </w:rPr>
              <w:t>Complete defense is not guaranteed against platform-granted peer privilege; **High**</w:t>
            </w:r>
          </w:p>
        </w:tc>
      </w:tr>
    </w:tbl>
    <w:p>
      <w:pPr>
        <w:pStyle w:val="Heading2"/>
        <w:jc w:val="left"/>
      </w:pPr>
      <w:r>
        <w:t>5.9 Lifecycle, Health, Recovery, and Platform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**THR-LIFE-001 — Force-Stop Enforcement Loss**</w:t>
            </w:r>
          </w:p>
        </w:tc>
        <w:tc>
          <w:tcPr>
            <w:tcW w:type="dxa" w:w="1930"/>
            <w:vAlign w:val="top"/>
            <w:tcW w:type="dxa" w:w="1848"/>
          </w:tcPr>
          <w:p>
            <w:pPr>
              <w:spacing w:before="20" w:after="40"/>
            </w:pPr>
            <w:r>
              <w:rPr>
                <w:rFonts w:ascii="Times New Roman" w:hAnsi="Times New Roman"/>
                <w:sz w:val="19"/>
              </w:rPr>
              <w:t>The device user force-stops App Lock</w:t>
            </w:r>
          </w:p>
        </w:tc>
        <w:tc>
          <w:tcPr>
            <w:tcW w:type="dxa" w:w="1930"/>
            <w:vAlign w:val="top"/>
            <w:tcW w:type="dxa" w:w="1848"/>
          </w:tcPr>
          <w:p>
            <w:pPr>
              <w:spacing w:before="20" w:after="40"/>
            </w:pPr>
            <w:r>
              <w:rPr>
                <w:rFonts w:ascii="Times New Roman" w:hAnsi="Times New Roman"/>
                <w:sz w:val="19"/>
              </w:rPr>
              <w:t>Android prevents execution and the protection path stops</w:t>
            </w:r>
          </w:p>
        </w:tc>
        <w:tc>
          <w:tcPr>
            <w:tcW w:type="dxa" w:w="1930"/>
            <w:vAlign w:val="top"/>
            <w:tcW w:type="dxa" w:w="1848"/>
          </w:tcPr>
          <w:p>
            <w:pPr>
              <w:spacing w:before="20" w:after="40"/>
            </w:pPr>
            <w:r>
              <w:rPr>
                <w:rFonts w:ascii="Times New Roman" w:hAnsi="Times New Roman"/>
                <w:sz w:val="19"/>
              </w:rPr>
              <w:t>SC-LIFE-001, SC-HEALTH-002</w:t>
            </w:r>
          </w:p>
        </w:tc>
        <w:tc>
          <w:tcPr>
            <w:tcW w:type="dxa" w:w="1930"/>
            <w:vAlign w:val="top"/>
            <w:tcW w:type="dxa" w:w="1848"/>
          </w:tcPr>
          <w:p>
            <w:pPr>
              <w:spacing w:before="20" w:after="40"/>
            </w:pPr>
            <w:r>
              <w:rPr>
                <w:rFonts w:ascii="Times New Roman" w:hAnsi="Times New Roman"/>
                <w:sz w:val="19"/>
              </w:rPr>
              <w:t>Continuous protection while force-stopped cannot be guaranteed; **Critical** accepted platform limitation</w:t>
            </w:r>
          </w:p>
        </w:tc>
      </w:tr>
      <w:tr>
        <w:trPr>
          <w:cantSplit/>
        </w:trPr>
        <w:tc>
          <w:tcPr>
            <w:tcW w:type="dxa" w:w="1930"/>
            <w:vAlign w:val="top"/>
            <w:tcW w:type="dxa" w:w="1848"/>
          </w:tcPr>
          <w:p>
            <w:pPr>
              <w:spacing w:before="20" w:after="40"/>
            </w:pPr>
            <w:r>
              <w:rPr>
                <w:rFonts w:ascii="Times New Roman" w:hAnsi="Times New Roman"/>
                <w:sz w:val="19"/>
              </w:rPr>
              <w:t>**THR-LIFE-002 — Process Death With Authorization Confusion**</w:t>
            </w:r>
          </w:p>
        </w:tc>
        <w:tc>
          <w:tcPr>
            <w:tcW w:type="dxa" w:w="1930"/>
            <w:vAlign w:val="top"/>
            <w:tcW w:type="dxa" w:w="1848"/>
          </w:tcPr>
          <w:p>
            <w:pPr>
              <w:spacing w:before="20" w:after="40"/>
            </w:pPr>
            <w:r>
              <w:rPr>
                <w:rFonts w:ascii="Times New Roman" w:hAnsi="Times New Roman"/>
                <w:sz w:val="19"/>
              </w:rPr>
              <w:t>Android terminates the process while a session or authentication request exists</w:t>
            </w:r>
          </w:p>
        </w:tc>
        <w:tc>
          <w:tcPr>
            <w:tcW w:type="dxa" w:w="1930"/>
            <w:vAlign w:val="top"/>
            <w:tcW w:type="dxa" w:w="1848"/>
          </w:tcPr>
          <w:p>
            <w:pPr>
              <w:spacing w:before="20" w:after="40"/>
            </w:pPr>
            <w:r>
              <w:rPr>
                <w:rFonts w:ascii="Times New Roman" w:hAnsi="Times New Roman"/>
                <w:sz w:val="19"/>
              </w:rPr>
              <w:t>Stale authorization or inconsistent lock state appears after recreation</w:t>
            </w:r>
          </w:p>
        </w:tc>
        <w:tc>
          <w:tcPr>
            <w:tcW w:type="dxa" w:w="1930"/>
            <w:vAlign w:val="top"/>
            <w:tcW w:type="dxa" w:w="1848"/>
          </w:tcPr>
          <w:p>
            <w:pPr>
              <w:spacing w:before="20" w:after="40"/>
            </w:pPr>
            <w:r>
              <w:rPr>
                <w:rFonts w:ascii="Times New Roman" w:hAnsi="Times New Roman"/>
                <w:sz w:val="19"/>
              </w:rPr>
              <w:t>SC-SESS-003, SC-LIFE-001, SC-UI-003</w:t>
            </w:r>
          </w:p>
        </w:tc>
        <w:tc>
          <w:tcPr>
            <w:tcW w:type="dxa" w:w="1930"/>
            <w:vAlign w:val="top"/>
            <w:tcW w:type="dxa" w:w="1848"/>
          </w:tcPr>
          <w:p>
            <w:pPr>
              <w:spacing w:before="20" w:after="40"/>
            </w:pPr>
            <w:r>
              <w:rPr>
                <w:rFonts w:ascii="Times New Roman" w:hAnsi="Times New Roman"/>
                <w:sz w:val="19"/>
              </w:rPr>
              <w:t>Restart latency remains; **Low** authorization risk after controls</w:t>
            </w:r>
          </w:p>
        </w:tc>
      </w:tr>
      <w:tr>
        <w:trPr>
          <w:cantSplit/>
        </w:trPr>
        <w:tc>
          <w:tcPr>
            <w:tcW w:type="dxa" w:w="1930"/>
            <w:vAlign w:val="top"/>
            <w:tcW w:type="dxa" w:w="1848"/>
          </w:tcPr>
          <w:p>
            <w:pPr>
              <w:spacing w:before="20" w:after="40"/>
            </w:pPr>
            <w:r>
              <w:rPr>
                <w:rFonts w:ascii="Times New Roman" w:hAnsi="Times New Roman"/>
                <w:sz w:val="19"/>
              </w:rPr>
              <w:t>**THR-LIFE-003 — OEM Background Restriction**</w:t>
            </w:r>
          </w:p>
        </w:tc>
        <w:tc>
          <w:tcPr>
            <w:tcW w:type="dxa" w:w="1930"/>
            <w:vAlign w:val="top"/>
            <w:tcW w:type="dxa" w:w="1848"/>
          </w:tcPr>
          <w:p>
            <w:pPr>
              <w:spacing w:before="20" w:after="40"/>
            </w:pPr>
            <w:r>
              <w:rPr>
                <w:rFonts w:ascii="Times New Roman" w:hAnsi="Times New Roman"/>
                <w:sz w:val="19"/>
              </w:rPr>
              <w:t>Manufacturer power management delays or prevents required background work</w:t>
            </w:r>
          </w:p>
        </w:tc>
        <w:tc>
          <w:tcPr>
            <w:tcW w:type="dxa" w:w="1930"/>
            <w:vAlign w:val="top"/>
            <w:tcW w:type="dxa" w:w="1848"/>
          </w:tcPr>
          <w:p>
            <w:pPr>
              <w:spacing w:before="20" w:after="40"/>
            </w:pPr>
            <w:r>
              <w:rPr>
                <w:rFonts w:ascii="Times New Roman" w:hAnsi="Times New Roman"/>
                <w:sz w:val="19"/>
              </w:rPr>
              <w:t>Detection or presentation becomes delayed or interrupted</w:t>
            </w:r>
          </w:p>
        </w:tc>
        <w:tc>
          <w:tcPr>
            <w:tcW w:type="dxa" w:w="1930"/>
            <w:vAlign w:val="top"/>
            <w:tcW w:type="dxa" w:w="1848"/>
          </w:tcPr>
          <w:p>
            <w:pPr>
              <w:spacing w:before="20" w:after="40"/>
            </w:pPr>
            <w:r>
              <w:rPr>
                <w:rFonts w:ascii="Times New Roman" w:hAnsi="Times New Roman"/>
                <w:sz w:val="19"/>
              </w:rPr>
              <w:t>SC-LIFE-001, SC-HEALTH-001, SC-HEALTH-002</w:t>
            </w:r>
          </w:p>
        </w:tc>
        <w:tc>
          <w:tcPr>
            <w:tcW w:type="dxa" w:w="1930"/>
            <w:vAlign w:val="top"/>
            <w:tcW w:type="dxa" w:w="1848"/>
          </w:tcPr>
          <w:p>
            <w:pPr>
              <w:spacing w:before="20" w:after="40"/>
            </w:pPr>
            <w:r>
              <w:rPr>
                <w:rFonts w:ascii="Times New Roman" w:hAnsi="Times New Roman"/>
                <w:sz w:val="19"/>
              </w:rPr>
              <w:t>Manufacturer behavior varies beyond available evidence; **High**</w:t>
            </w:r>
          </w:p>
        </w:tc>
      </w:tr>
      <w:tr>
        <w:trPr>
          <w:cantSplit/>
        </w:trPr>
        <w:tc>
          <w:tcPr>
            <w:tcW w:type="dxa" w:w="1930"/>
            <w:vAlign w:val="top"/>
            <w:tcW w:type="dxa" w:w="1848"/>
          </w:tcPr>
          <w:p>
            <w:pPr>
              <w:spacing w:before="20" w:after="40"/>
            </w:pPr>
            <w:r>
              <w:rPr>
                <w:rFonts w:ascii="Times New Roman" w:hAnsi="Times New Roman"/>
                <w:sz w:val="19"/>
              </w:rPr>
              <w:t>**THR-LIFE-004 — Boot Re-Arm Failure**</w:t>
            </w:r>
          </w:p>
        </w:tc>
        <w:tc>
          <w:tcPr>
            <w:tcW w:type="dxa" w:w="1930"/>
            <w:vAlign w:val="top"/>
            <w:tcW w:type="dxa" w:w="1848"/>
          </w:tcPr>
          <w:p>
            <w:pPr>
              <w:spacing w:before="20" w:after="40"/>
            </w:pPr>
            <w:r>
              <w:rPr>
                <w:rFonts w:ascii="Times New Roman" w:hAnsi="Times New Roman"/>
                <w:sz w:val="19"/>
              </w:rPr>
              <w:t>Required protection work does not resume after reboot</w:t>
            </w:r>
          </w:p>
        </w:tc>
        <w:tc>
          <w:tcPr>
            <w:tcW w:type="dxa" w:w="1930"/>
            <w:vAlign w:val="top"/>
            <w:tcW w:type="dxa" w:w="1848"/>
          </w:tcPr>
          <w:p>
            <w:pPr>
              <w:spacing w:before="20" w:after="40"/>
            </w:pPr>
            <w:r>
              <w:rPr>
                <w:rFonts w:ascii="Times New Roman" w:hAnsi="Times New Roman"/>
                <w:sz w:val="19"/>
              </w:rPr>
              <w:t>Protected applications may be used before protection is restored</w:t>
            </w:r>
          </w:p>
        </w:tc>
        <w:tc>
          <w:tcPr>
            <w:tcW w:type="dxa" w:w="1930"/>
            <w:vAlign w:val="top"/>
            <w:tcW w:type="dxa" w:w="1848"/>
          </w:tcPr>
          <w:p>
            <w:pPr>
              <w:spacing w:before="20" w:after="40"/>
            </w:pPr>
            <w:r>
              <w:rPr>
                <w:rFonts w:ascii="Times New Roman" w:hAnsi="Times New Roman"/>
                <w:sz w:val="19"/>
              </w:rPr>
              <w:t>SC-LIFE-002, SC-HEALTH-001, SC-SESS-003</w:t>
            </w:r>
          </w:p>
        </w:tc>
        <w:tc>
          <w:tcPr>
            <w:tcW w:type="dxa" w:w="1930"/>
            <w:vAlign w:val="top"/>
            <w:tcW w:type="dxa" w:w="1848"/>
          </w:tcPr>
          <w:p>
            <w:pPr>
              <w:spacing w:before="20" w:after="40"/>
            </w:pPr>
            <w:r>
              <w:rPr>
                <w:rFonts w:ascii="Times New Roman" w:hAnsi="Times New Roman"/>
                <w:sz w:val="19"/>
              </w:rPr>
              <w:t>Android may delay delivery or execution; **High**</w:t>
            </w:r>
          </w:p>
        </w:tc>
      </w:tr>
      <w:tr>
        <w:trPr>
          <w:cantSplit/>
        </w:trPr>
        <w:tc>
          <w:tcPr>
            <w:tcW w:type="dxa" w:w="1930"/>
            <w:vAlign w:val="top"/>
            <w:tcW w:type="dxa" w:w="1848"/>
          </w:tcPr>
          <w:p>
            <w:pPr>
              <w:spacing w:before="20" w:after="40"/>
            </w:pPr>
            <w:r>
              <w:rPr>
                <w:rFonts w:ascii="Times New Roman" w:hAnsi="Times New Roman"/>
                <w:sz w:val="19"/>
              </w:rPr>
              <w:t>**THR-LIFE-005 — Startup Security Race**</w:t>
            </w:r>
          </w:p>
        </w:tc>
        <w:tc>
          <w:tcPr>
            <w:tcW w:type="dxa" w:w="1930"/>
            <w:vAlign w:val="top"/>
            <w:tcW w:type="dxa" w:w="1848"/>
          </w:tcPr>
          <w:p>
            <w:pPr>
              <w:spacing w:before="20" w:after="40"/>
            </w:pPr>
            <w:r>
              <w:rPr>
                <w:rFonts w:ascii="Times New Roman" w:hAnsi="Times New Roman"/>
                <w:sz w:val="19"/>
              </w:rPr>
              <w:t>A protected application becomes usable before App Lock has restored detection and presentation</w:t>
            </w:r>
          </w:p>
        </w:tc>
        <w:tc>
          <w:tcPr>
            <w:tcW w:type="dxa" w:w="1930"/>
            <w:vAlign w:val="top"/>
            <w:tcW w:type="dxa" w:w="1848"/>
          </w:tcPr>
          <w:p>
            <w:pPr>
              <w:spacing w:before="20" w:after="40"/>
            </w:pPr>
            <w:r>
              <w:rPr>
                <w:rFonts w:ascii="Times New Roman" w:hAnsi="Times New Roman"/>
                <w:sz w:val="19"/>
              </w:rPr>
              <w:t>Temporary unauthorized access</w:t>
            </w:r>
          </w:p>
        </w:tc>
        <w:tc>
          <w:tcPr>
            <w:tcW w:type="dxa" w:w="1930"/>
            <w:vAlign w:val="top"/>
            <w:tcW w:type="dxa" w:w="1848"/>
          </w:tcPr>
          <w:p>
            <w:pPr>
              <w:spacing w:before="20" w:after="40"/>
            </w:pPr>
            <w:r>
              <w:rPr>
                <w:rFonts w:ascii="Times New Roman" w:hAnsi="Times New Roman"/>
                <w:sz w:val="19"/>
              </w:rPr>
              <w:t>SC-LIFE-002, SC-ENF-002, SC-HEALTH-001</w:t>
            </w:r>
          </w:p>
        </w:tc>
        <w:tc>
          <w:tcPr>
            <w:tcW w:type="dxa" w:w="1930"/>
            <w:vAlign w:val="top"/>
            <w:tcW w:type="dxa" w:w="1848"/>
          </w:tcPr>
          <w:p>
            <w:pPr>
              <w:spacing w:before="20" w:after="40"/>
            </w:pPr>
            <w:r>
              <w:rPr>
                <w:rFonts w:ascii="Times New Roman" w:hAnsi="Times New Roman"/>
                <w:sz w:val="19"/>
              </w:rPr>
              <w:t>Startup ordering remains platform-dependent; **High**</w:t>
            </w:r>
          </w:p>
        </w:tc>
      </w:tr>
      <w:tr>
        <w:trPr>
          <w:cantSplit/>
        </w:trPr>
        <w:tc>
          <w:tcPr>
            <w:tcW w:type="dxa" w:w="1930"/>
            <w:vAlign w:val="top"/>
            <w:tcW w:type="dxa" w:w="1848"/>
          </w:tcPr>
          <w:p>
            <w:pPr>
              <w:spacing w:before="20" w:after="40"/>
            </w:pPr>
            <w:r>
              <w:rPr>
                <w:rFonts w:ascii="Times New Roman" w:hAnsi="Times New Roman"/>
                <w:sz w:val="19"/>
              </w:rPr>
              <w:t>**THR-AUD-001 — Security Diagnostic Modification**</w:t>
            </w:r>
          </w:p>
        </w:tc>
        <w:tc>
          <w:tcPr>
            <w:tcW w:type="dxa" w:w="1930"/>
            <w:vAlign w:val="top"/>
            <w:tcW w:type="dxa" w:w="1848"/>
          </w:tcPr>
          <w:p>
            <w:pPr>
              <w:spacing w:before="20" w:after="40"/>
            </w:pPr>
            <w:r>
              <w:rPr>
                <w:rFonts w:ascii="Times New Roman" w:hAnsi="Times New Roman"/>
                <w:sz w:val="19"/>
              </w:rPr>
              <w:t>Bounded local records are altered or deleted</w:t>
            </w:r>
          </w:p>
        </w:tc>
        <w:tc>
          <w:tcPr>
            <w:tcW w:type="dxa" w:w="1930"/>
            <w:vAlign w:val="top"/>
            <w:tcW w:type="dxa" w:w="1848"/>
          </w:tcPr>
          <w:p>
            <w:pPr>
              <w:spacing w:before="20" w:after="40"/>
            </w:pPr>
            <w:r>
              <w:rPr>
                <w:rFonts w:ascii="Times New Roman" w:hAnsi="Times New Roman"/>
                <w:sz w:val="19"/>
              </w:rPr>
              <w:t>Troubleshooting or displayed health may become misleading</w:t>
            </w:r>
          </w:p>
        </w:tc>
        <w:tc>
          <w:tcPr>
            <w:tcW w:type="dxa" w:w="1930"/>
            <w:vAlign w:val="top"/>
            <w:tcW w:type="dxa" w:w="1848"/>
          </w:tcPr>
          <w:p>
            <w:pPr>
              <w:spacing w:before="20" w:after="40"/>
            </w:pPr>
            <w:r>
              <w:rPr>
                <w:rFonts w:ascii="Times New Roman" w:hAnsi="Times New Roman"/>
                <w:sz w:val="19"/>
              </w:rPr>
              <w:t>SC-PRIV-002, SC-DATA-003, SC-HEALTH-001</w:t>
            </w:r>
          </w:p>
        </w:tc>
        <w:tc>
          <w:tcPr>
            <w:tcW w:type="dxa" w:w="1930"/>
            <w:vAlign w:val="top"/>
            <w:tcW w:type="dxa" w:w="1848"/>
          </w:tcPr>
          <w:p>
            <w:pPr>
              <w:spacing w:before="20" w:after="40"/>
            </w:pPr>
            <w:r>
              <w:rPr>
                <w:rFonts w:ascii="Times New Roman" w:hAnsi="Times New Roman"/>
                <w:sz w:val="19"/>
              </w:rPr>
              <w:t>Diagnostics are not authorization inputs, limiting consequence; **Low**</w:t>
            </w:r>
          </w:p>
        </w:tc>
      </w:tr>
      <w:tr>
        <w:trPr>
          <w:cantSplit/>
        </w:trPr>
        <w:tc>
          <w:tcPr>
            <w:tcW w:type="dxa" w:w="1930"/>
            <w:vAlign w:val="top"/>
            <w:tcW w:type="dxa" w:w="1848"/>
          </w:tcPr>
          <w:p>
            <w:pPr>
              <w:spacing w:before="20" w:after="40"/>
            </w:pPr>
            <w:r>
              <w:rPr>
                <w:rFonts w:ascii="Times New Roman" w:hAnsi="Times New Roman"/>
                <w:sz w:val="19"/>
              </w:rPr>
              <w:t>**THR-AUD-003 — Security-State Manipulation**</w:t>
            </w:r>
          </w:p>
        </w:tc>
        <w:tc>
          <w:tcPr>
            <w:tcW w:type="dxa" w:w="1930"/>
            <w:vAlign w:val="top"/>
            <w:tcW w:type="dxa" w:w="1848"/>
          </w:tcPr>
          <w:p>
            <w:pPr>
              <w:spacing w:before="20" w:after="40"/>
            </w:pPr>
            <w:r>
              <w:rPr>
                <w:rFonts w:ascii="Times New Roman" w:hAnsi="Times New Roman"/>
                <w:sz w:val="19"/>
              </w:rPr>
              <w:t>Stored, cached, or visible health state is changed independently of actual permission and protection checks</w:t>
            </w:r>
          </w:p>
        </w:tc>
        <w:tc>
          <w:tcPr>
            <w:tcW w:type="dxa" w:w="1930"/>
            <w:vAlign w:val="top"/>
            <w:tcW w:type="dxa" w:w="1848"/>
          </w:tcPr>
          <w:p>
            <w:pPr>
              <w:spacing w:before="20" w:after="40"/>
            </w:pPr>
            <w:r>
              <w:rPr>
                <w:rFonts w:ascii="Times New Roman" w:hAnsi="Times New Roman"/>
                <w:sz w:val="19"/>
              </w:rPr>
              <w:t>Interrupted protection is displayed as healthy</w:t>
            </w:r>
          </w:p>
        </w:tc>
        <w:tc>
          <w:tcPr>
            <w:tcW w:type="dxa" w:w="1930"/>
            <w:vAlign w:val="top"/>
            <w:tcW w:type="dxa" w:w="1848"/>
          </w:tcPr>
          <w:p>
            <w:pPr>
              <w:spacing w:before="20" w:after="40"/>
            </w:pPr>
            <w:r>
              <w:rPr>
                <w:rFonts w:ascii="Times New Roman" w:hAnsi="Times New Roman"/>
                <w:sz w:val="19"/>
              </w:rPr>
              <w:t>SC-HEALTH-001, SC-DATA-003</w:t>
            </w:r>
          </w:p>
        </w:tc>
        <w:tc>
          <w:tcPr>
            <w:tcW w:type="dxa" w:w="1930"/>
            <w:vAlign w:val="top"/>
            <w:tcW w:type="dxa" w:w="1848"/>
          </w:tcPr>
          <w:p>
            <w:pPr>
              <w:spacing w:before="20" w:after="40"/>
            </w:pPr>
            <w:r>
              <w:rPr>
                <w:rFonts w:ascii="Times New Roman" w:hAnsi="Times New Roman"/>
                <w:sz w:val="19"/>
              </w:rPr>
              <w:t>Health may be unverified while the app cannot run; **High**</w:t>
            </w:r>
          </w:p>
        </w:tc>
      </w:tr>
      <w:tr>
        <w:trPr>
          <w:cantSplit/>
        </w:trPr>
        <w:tc>
          <w:tcPr>
            <w:tcW w:type="dxa" w:w="1930"/>
            <w:vAlign w:val="top"/>
            <w:tcW w:type="dxa" w:w="1848"/>
          </w:tcPr>
          <w:p>
            <w:pPr>
              <w:spacing w:before="20" w:after="40"/>
            </w:pPr>
            <w:r>
              <w:rPr>
                <w:rFonts w:ascii="Times New Roman" w:hAnsi="Times New Roman"/>
                <w:sz w:val="19"/>
              </w:rPr>
              <w:t>**THR-REC-001 — Database Corruption Causes Security Degradation**</w:t>
            </w:r>
          </w:p>
        </w:tc>
        <w:tc>
          <w:tcPr>
            <w:tcW w:type="dxa" w:w="1930"/>
            <w:vAlign w:val="top"/>
            <w:tcW w:type="dxa" w:w="1848"/>
          </w:tcPr>
          <w:p>
            <w:pPr>
              <w:spacing w:before="20" w:after="40"/>
            </w:pPr>
            <w:r>
              <w:rPr>
                <w:rFonts w:ascii="Times New Roman" w:hAnsi="Times New Roman"/>
                <w:sz w:val="19"/>
              </w:rPr>
              <w:t>Database damage prevents reliable reading of protected selections or settings</w:t>
            </w:r>
          </w:p>
        </w:tc>
        <w:tc>
          <w:tcPr>
            <w:tcW w:type="dxa" w:w="1930"/>
            <w:vAlign w:val="top"/>
            <w:tcW w:type="dxa" w:w="1848"/>
          </w:tcPr>
          <w:p>
            <w:pPr>
              <w:spacing w:before="20" w:after="40"/>
            </w:pPr>
            <w:r>
              <w:rPr>
                <w:rFonts w:ascii="Times New Roman" w:hAnsi="Times New Roman"/>
                <w:sz w:val="19"/>
              </w:rPr>
              <w:t>The application may behave as though no applications are protected</w:t>
            </w:r>
          </w:p>
        </w:tc>
        <w:tc>
          <w:tcPr>
            <w:tcW w:type="dxa" w:w="1930"/>
            <w:vAlign w:val="top"/>
            <w:tcW w:type="dxa" w:w="1848"/>
          </w:tcPr>
          <w:p>
            <w:pPr>
              <w:spacing w:before="20" w:after="40"/>
            </w:pPr>
            <w:r>
              <w:rPr>
                <w:rFonts w:ascii="Times New Roman" w:hAnsi="Times New Roman"/>
                <w:sz w:val="19"/>
              </w:rPr>
              <w:t>SC-DATA-003, SC-DATA-004, SC-RESET-001</w:t>
            </w:r>
          </w:p>
        </w:tc>
        <w:tc>
          <w:tcPr>
            <w:tcW w:type="dxa" w:w="1930"/>
            <w:vAlign w:val="top"/>
            <w:tcW w:type="dxa" w:w="1848"/>
          </w:tcPr>
          <w:p>
            <w:pPr>
              <w:spacing w:before="20" w:after="40"/>
            </w:pPr>
            <w:r>
              <w:rPr>
                <w:rFonts w:ascii="Times New Roman" w:hAnsi="Times New Roman"/>
                <w:sz w:val="19"/>
              </w:rPr>
              <w:t>Local configuration may be irrecoverable; **High** availability risk</w:t>
            </w:r>
          </w:p>
        </w:tc>
      </w:tr>
      <w:tr>
        <w:trPr>
          <w:cantSplit/>
        </w:trPr>
        <w:tc>
          <w:tcPr>
            <w:tcW w:type="dxa" w:w="1930"/>
            <w:vAlign w:val="top"/>
            <w:tcW w:type="dxa" w:w="1848"/>
          </w:tcPr>
          <w:p>
            <w:pPr>
              <w:spacing w:before="20" w:after="40"/>
            </w:pPr>
            <w:r>
              <w:rPr>
                <w:rFonts w:ascii="Times New Roman" w:hAnsi="Times New Roman"/>
                <w:sz w:val="19"/>
              </w:rPr>
              <w:t>**THR-REC-002 — Database Migration Exposure**</w:t>
            </w:r>
          </w:p>
        </w:tc>
        <w:tc>
          <w:tcPr>
            <w:tcW w:type="dxa" w:w="1930"/>
            <w:vAlign w:val="top"/>
            <w:tcW w:type="dxa" w:w="1848"/>
          </w:tcPr>
          <w:p>
            <w:pPr>
              <w:spacing w:before="20" w:after="40"/>
            </w:pPr>
            <w:r>
              <w:rPr>
                <w:rFonts w:ascii="Times New Roman" w:hAnsi="Times New Roman"/>
                <w:sz w:val="19"/>
              </w:rPr>
              <w:t>In-place upgrade copies plaintext, loses fields, partially commits, or weakens settings</w:t>
            </w:r>
          </w:p>
        </w:tc>
        <w:tc>
          <w:tcPr>
            <w:tcW w:type="dxa" w:w="1930"/>
            <w:vAlign w:val="top"/>
            <w:tcW w:type="dxa" w:w="1848"/>
          </w:tcPr>
          <w:p>
            <w:pPr>
              <w:spacing w:before="20" w:after="40"/>
            </w:pPr>
            <w:r>
              <w:rPr>
                <w:rFonts w:ascii="Times New Roman" w:hAnsi="Times New Roman"/>
                <w:sz w:val="19"/>
              </w:rPr>
              <w:t>Confidentiality or protection integrity is lost</w:t>
            </w:r>
          </w:p>
        </w:tc>
        <w:tc>
          <w:tcPr>
            <w:tcW w:type="dxa" w:w="1930"/>
            <w:vAlign w:val="top"/>
            <w:tcW w:type="dxa" w:w="1848"/>
          </w:tcPr>
          <w:p>
            <w:pPr>
              <w:spacing w:before="20" w:after="40"/>
            </w:pPr>
            <w:r>
              <w:rPr>
                <w:rFonts w:ascii="Times New Roman" w:hAnsi="Times New Roman"/>
                <w:sz w:val="19"/>
              </w:rPr>
              <w:t>SC-DATA-004, SC-DATA-005</w:t>
            </w:r>
          </w:p>
        </w:tc>
        <w:tc>
          <w:tcPr>
            <w:tcW w:type="dxa" w:w="1930"/>
            <w:vAlign w:val="top"/>
            <w:tcW w:type="dxa" w:w="1848"/>
          </w:tcPr>
          <w:p>
            <w:pPr>
              <w:spacing w:before="20" w:after="40"/>
            </w:pPr>
            <w:r>
              <w:rPr>
                <w:rFonts w:ascii="Times New Roman" w:hAnsi="Times New Roman"/>
                <w:sz w:val="19"/>
              </w:rPr>
              <w:t>Unsupported downgrade is not guaranteed; **Medium**</w:t>
            </w:r>
          </w:p>
        </w:tc>
      </w:tr>
      <w:tr>
        <w:trPr>
          <w:cantSplit/>
        </w:trPr>
        <w:tc>
          <w:tcPr>
            <w:tcW w:type="dxa" w:w="1930"/>
            <w:vAlign w:val="top"/>
            <w:tcW w:type="dxa" w:w="1848"/>
          </w:tcPr>
          <w:p>
            <w:pPr>
              <w:spacing w:before="20" w:after="40"/>
            </w:pPr>
            <w:r>
              <w:rPr>
                <w:rFonts w:ascii="Times New Roman" w:hAnsi="Times New Roman"/>
                <w:sz w:val="19"/>
              </w:rPr>
              <w:t>**THR-REC-003 — Keystore Loss Causes Irrecoverable Data Loss**</w:t>
            </w:r>
          </w:p>
        </w:tc>
        <w:tc>
          <w:tcPr>
            <w:tcW w:type="dxa" w:w="1930"/>
            <w:vAlign w:val="top"/>
            <w:tcW w:type="dxa" w:w="1848"/>
          </w:tcPr>
          <w:p>
            <w:pPr>
              <w:spacing w:before="20" w:after="40"/>
            </w:pPr>
            <w:r>
              <w:rPr>
                <w:rFonts w:ascii="Times New Roman" w:hAnsi="Times New Roman"/>
                <w:sz w:val="19"/>
              </w:rPr>
              <w:t>Protected key material becomes unavailable</w:t>
            </w:r>
          </w:p>
        </w:tc>
        <w:tc>
          <w:tcPr>
            <w:tcW w:type="dxa" w:w="1930"/>
            <w:vAlign w:val="top"/>
            <w:tcW w:type="dxa" w:w="1848"/>
          </w:tcPr>
          <w:p>
            <w:pPr>
              <w:spacing w:before="20" w:after="40"/>
            </w:pPr>
            <w:r>
              <w:rPr>
                <w:rFonts w:ascii="Times New Roman" w:hAnsi="Times New Roman"/>
                <w:sz w:val="19"/>
              </w:rPr>
              <w:t>Encrypted configuration cannot be read</w:t>
            </w:r>
          </w:p>
        </w:tc>
        <w:tc>
          <w:tcPr>
            <w:tcW w:type="dxa" w:w="1930"/>
            <w:vAlign w:val="top"/>
            <w:tcW w:type="dxa" w:w="1848"/>
          </w:tcPr>
          <w:p>
            <w:pPr>
              <w:spacing w:before="20" w:after="40"/>
            </w:pPr>
            <w:r>
              <w:rPr>
                <w:rFonts w:ascii="Times New Roman" w:hAnsi="Times New Roman"/>
                <w:sz w:val="19"/>
              </w:rPr>
              <w:t>SC-DATA-005, SC-RESET-001, SC-HEALTH-001</w:t>
            </w:r>
          </w:p>
        </w:tc>
        <w:tc>
          <w:tcPr>
            <w:tcW w:type="dxa" w:w="1930"/>
            <w:vAlign w:val="top"/>
            <w:tcW w:type="dxa" w:w="1848"/>
          </w:tcPr>
          <w:p>
            <w:pPr>
              <w:spacing w:before="20" w:after="40"/>
            </w:pPr>
            <w:r>
              <w:rPr>
                <w:rFonts w:ascii="Times New Roman" w:hAnsi="Times New Roman"/>
                <w:sz w:val="19"/>
              </w:rPr>
              <w:t>No backup exists; destructive reset may be the only recovery; **High** availability risk</w:t>
            </w:r>
          </w:p>
        </w:tc>
      </w:tr>
      <w:tr>
        <w:trPr>
          <w:cantSplit/>
        </w:trPr>
        <w:tc>
          <w:tcPr>
            <w:tcW w:type="dxa" w:w="1930"/>
            <w:vAlign w:val="top"/>
            <w:tcW w:type="dxa" w:w="1848"/>
          </w:tcPr>
          <w:p>
            <w:pPr>
              <w:spacing w:before="20" w:after="40"/>
            </w:pPr>
            <w:r>
              <w:rPr>
                <w:rFonts w:ascii="Times New Roman" w:hAnsi="Times New Roman"/>
                <w:sz w:val="19"/>
              </w:rPr>
              <w:t>**THR-REC-005 — Forgotten-PIN Recovery Becomes a Bypass**</w:t>
            </w:r>
          </w:p>
        </w:tc>
        <w:tc>
          <w:tcPr>
            <w:tcW w:type="dxa" w:w="1930"/>
            <w:vAlign w:val="top"/>
            <w:tcW w:type="dxa" w:w="1848"/>
          </w:tcPr>
          <w:p>
            <w:pPr>
              <w:spacing w:before="20" w:after="40"/>
            </w:pPr>
            <w:r>
              <w:rPr>
                <w:rFonts w:ascii="Times New Roman" w:hAnsi="Times New Roman"/>
                <w:sz w:val="19"/>
              </w:rPr>
              <w:t>The forgotten-PIN path grants access, reveals configuration, or preserves selective security state without the PIN</w:t>
            </w:r>
          </w:p>
        </w:tc>
        <w:tc>
          <w:tcPr>
            <w:tcW w:type="dxa" w:w="1930"/>
            <w:vAlign w:val="top"/>
            <w:tcW w:type="dxa" w:w="1848"/>
          </w:tcPr>
          <w:p>
            <w:pPr>
              <w:spacing w:before="20" w:after="40"/>
            </w:pPr>
            <w:r>
              <w:rPr>
                <w:rFonts w:ascii="Times New Roman" w:hAnsi="Times New Roman"/>
                <w:sz w:val="19"/>
              </w:rPr>
              <w:t>An attacker converts reset into authentication or disables selected protection covertly</w:t>
            </w:r>
          </w:p>
        </w:tc>
        <w:tc>
          <w:tcPr>
            <w:tcW w:type="dxa" w:w="1930"/>
            <w:vAlign w:val="top"/>
            <w:tcW w:type="dxa" w:w="1848"/>
          </w:tcPr>
          <w:p>
            <w:pPr>
              <w:spacing w:before="20" w:after="40"/>
            </w:pPr>
            <w:r>
              <w:rPr>
                <w:rFonts w:ascii="Times New Roman" w:hAnsi="Times New Roman"/>
                <w:sz w:val="19"/>
              </w:rPr>
              <w:t>SC-RESET-001, SC-SESS-001, SC-STATE-001</w:t>
            </w:r>
          </w:p>
        </w:tc>
        <w:tc>
          <w:tcPr>
            <w:tcW w:type="dxa" w:w="1930"/>
            <w:vAlign w:val="top"/>
            <w:tcW w:type="dxa" w:w="1848"/>
          </w:tcPr>
          <w:p>
            <w:pPr>
              <w:spacing w:before="20" w:after="40"/>
            </w:pPr>
            <w:r>
              <w:rPr>
                <w:rFonts w:ascii="Times New Roman" w:hAnsi="Times New Roman"/>
                <w:sz w:val="19"/>
              </w:rPr>
              <w:t>Full destructive reset still ends local protection and is equivalent in consequence to Android data clear; **High** accepted boundary</w:t>
            </w:r>
          </w:p>
        </w:tc>
      </w:tr>
      <w:tr>
        <w:trPr>
          <w:cantSplit/>
        </w:trPr>
        <w:tc>
          <w:tcPr>
            <w:tcW w:type="dxa" w:w="1930"/>
            <w:vAlign w:val="top"/>
            <w:tcW w:type="dxa" w:w="1848"/>
          </w:tcPr>
          <w:p>
            <w:pPr>
              <w:spacing w:before="20" w:after="40"/>
            </w:pPr>
            <w:r>
              <w:rPr>
                <w:rFonts w:ascii="Times New Roman" w:hAnsi="Times New Roman"/>
                <w:sz w:val="19"/>
              </w:rPr>
              <w:t>**THR-INT-001 — Debuggable Production Build**</w:t>
            </w:r>
          </w:p>
        </w:tc>
        <w:tc>
          <w:tcPr>
            <w:tcW w:type="dxa" w:w="1930"/>
            <w:vAlign w:val="top"/>
            <w:tcW w:type="dxa" w:w="1848"/>
          </w:tcPr>
          <w:p>
            <w:pPr>
              <w:spacing w:before="20" w:after="40"/>
            </w:pPr>
            <w:r>
              <w:rPr>
                <w:rFonts w:ascii="Times New Roman" w:hAnsi="Times New Roman"/>
                <w:sz w:val="19"/>
              </w:rPr>
              <w:t>A distributed package permits debugging or ordinary runtime inspection</w:t>
            </w:r>
          </w:p>
        </w:tc>
        <w:tc>
          <w:tcPr>
            <w:tcW w:type="dxa" w:w="1930"/>
            <w:vAlign w:val="top"/>
            <w:tcW w:type="dxa" w:w="1848"/>
          </w:tcPr>
          <w:p>
            <w:pPr>
              <w:spacing w:before="20" w:after="40"/>
            </w:pPr>
            <w:r>
              <w:rPr>
                <w:rFonts w:ascii="Times New Roman" w:hAnsi="Times New Roman"/>
                <w:sz w:val="19"/>
              </w:rPr>
              <w:t>An attacker gains easier access to memory and security decisions</w:t>
            </w:r>
          </w:p>
        </w:tc>
        <w:tc>
          <w:tcPr>
            <w:tcW w:type="dxa" w:w="1930"/>
            <w:vAlign w:val="top"/>
            <w:tcW w:type="dxa" w:w="1848"/>
          </w:tcPr>
          <w:p>
            <w:pPr>
              <w:spacing w:before="20" w:after="40"/>
            </w:pPr>
            <w:r>
              <w:rPr>
                <w:rFonts w:ascii="Times New Roman" w:hAnsi="Times New Roman"/>
                <w:sz w:val="19"/>
              </w:rPr>
              <w:t>SC-BUILD-001</w:t>
            </w:r>
          </w:p>
        </w:tc>
        <w:tc>
          <w:tcPr>
            <w:tcW w:type="dxa" w:w="1930"/>
            <w:vAlign w:val="top"/>
            <w:tcW w:type="dxa" w:w="1848"/>
          </w:tcPr>
          <w:p>
            <w:pPr>
              <w:spacing w:before="20" w:after="40"/>
            </w:pPr>
            <w:r>
              <w:rPr>
                <w:rFonts w:ascii="Times New Roman" w:hAnsi="Times New Roman"/>
                <w:sz w:val="19"/>
              </w:rPr>
              <w:t>Root/system instrumentation remains outside the guarantee; **Medium**</w:t>
            </w:r>
          </w:p>
        </w:tc>
      </w:tr>
      <w:tr>
        <w:trPr>
          <w:cantSplit/>
        </w:trPr>
        <w:tc>
          <w:tcPr>
            <w:tcW w:type="dxa" w:w="1930"/>
            <w:vAlign w:val="top"/>
            <w:tcW w:type="dxa" w:w="1848"/>
          </w:tcPr>
          <w:p>
            <w:pPr>
              <w:spacing w:before="20" w:after="40"/>
            </w:pPr>
            <w:r>
              <w:rPr>
                <w:rFonts w:ascii="Times New Roman" w:hAnsi="Times New Roman"/>
                <w:sz w:val="19"/>
              </w:rPr>
              <w:t>**THR-INT-004 — Release Configuration Weakening**</w:t>
            </w:r>
          </w:p>
        </w:tc>
        <w:tc>
          <w:tcPr>
            <w:tcW w:type="dxa" w:w="1930"/>
            <w:vAlign w:val="top"/>
            <w:tcW w:type="dxa" w:w="1848"/>
          </w:tcPr>
          <w:p>
            <w:pPr>
              <w:spacing w:before="20" w:after="40"/>
            </w:pPr>
            <w:r>
              <w:rPr>
                <w:rFonts w:ascii="Times New Roman" w:hAnsi="Times New Roman"/>
                <w:sz w:val="19"/>
              </w:rPr>
              <w:t>Production packaging omits security flags, includes secrets, or changes critical protection behavior</w:t>
            </w:r>
          </w:p>
        </w:tc>
        <w:tc>
          <w:tcPr>
            <w:tcW w:type="dxa" w:w="1930"/>
            <w:vAlign w:val="top"/>
            <w:tcW w:type="dxa" w:w="1848"/>
          </w:tcPr>
          <w:p>
            <w:pPr>
              <w:spacing w:before="20" w:after="40"/>
            </w:pPr>
            <w:r>
              <w:rPr>
                <w:rFonts w:ascii="Times New Roman" w:hAnsi="Times New Roman"/>
                <w:sz w:val="19"/>
              </w:rPr>
              <w:t>Multiple security boundaries become weaker than specified</w:t>
            </w:r>
          </w:p>
        </w:tc>
        <w:tc>
          <w:tcPr>
            <w:tcW w:type="dxa" w:w="1930"/>
            <w:vAlign w:val="top"/>
            <w:tcW w:type="dxa" w:w="1848"/>
          </w:tcPr>
          <w:p>
            <w:pPr>
              <w:spacing w:before="20" w:after="40"/>
            </w:pPr>
            <w:r>
              <w:rPr>
                <w:rFonts w:ascii="Times New Roman" w:hAnsi="Times New Roman"/>
                <w:sz w:val="19"/>
              </w:rPr>
              <w:t>SC-BUILD-001, SC-BUILD-002</w:t>
            </w:r>
          </w:p>
        </w:tc>
        <w:tc>
          <w:tcPr>
            <w:tcW w:type="dxa" w:w="1930"/>
            <w:vAlign w:val="top"/>
            <w:tcW w:type="dxa" w:w="1848"/>
          </w:tcPr>
          <w:p>
            <w:pPr>
              <w:spacing w:before="20" w:after="40"/>
            </w:pPr>
            <w:r>
              <w:rPr>
                <w:rFonts w:ascii="Times New Roman" w:hAnsi="Times New Roman"/>
                <w:sz w:val="19"/>
              </w:rPr>
              <w:t>Distribution-platform and signing-account compromise remain external; **Medium**</w:t>
            </w:r>
          </w:p>
        </w:tc>
      </w:tr>
      <w:tr>
        <w:trPr>
          <w:cantSplit/>
        </w:trPr>
        <w:tc>
          <w:tcPr>
            <w:tcW w:type="dxa" w:w="1930"/>
            <w:vAlign w:val="top"/>
            <w:tcW w:type="dxa" w:w="1848"/>
          </w:tcPr>
          <w:p>
            <w:pPr>
              <w:spacing w:before="20" w:after="40"/>
            </w:pPr>
            <w:r>
              <w:rPr>
                <w:rFonts w:ascii="Times New Roman" w:hAnsi="Times New Roman"/>
                <w:sz w:val="19"/>
              </w:rPr>
              <w:t>**THR-PLAT-001 — Root or System Compromise**</w:t>
            </w:r>
          </w:p>
        </w:tc>
        <w:tc>
          <w:tcPr>
            <w:tcW w:type="dxa" w:w="1930"/>
            <w:vAlign w:val="top"/>
            <w:tcW w:type="dxa" w:w="1848"/>
          </w:tcPr>
          <w:p>
            <w:pPr>
              <w:spacing w:before="20" w:after="40"/>
            </w:pPr>
            <w:r>
              <w:rPr>
                <w:rFonts w:ascii="Times New Roman" w:hAnsi="Times New Roman"/>
                <w:sz w:val="19"/>
              </w:rPr>
              <w:t>The attacker controls privileged operating-system behavior</w:t>
            </w:r>
          </w:p>
        </w:tc>
        <w:tc>
          <w:tcPr>
            <w:tcW w:type="dxa" w:w="1930"/>
            <w:vAlign w:val="top"/>
            <w:tcW w:type="dxa" w:w="1848"/>
          </w:tcPr>
          <w:p>
            <w:pPr>
              <w:spacing w:before="20" w:after="40"/>
            </w:pPr>
            <w:r>
              <w:rPr>
                <w:rFonts w:ascii="Times New Roman" w:hAnsi="Times New Roman"/>
                <w:sz w:val="19"/>
              </w:rPr>
              <w:t>Sandbox, memory, UI, files, and sessions can be read or changed</w:t>
            </w:r>
          </w:p>
        </w:tc>
        <w:tc>
          <w:tcPr>
            <w:tcW w:type="dxa" w:w="1930"/>
            <w:vAlign w:val="top"/>
            <w:tcW w:type="dxa" w:w="1848"/>
          </w:tcPr>
          <w:p>
            <w:pPr>
              <w:spacing w:before="20" w:after="40"/>
            </w:pPr>
            <w:r>
              <w:rPr>
                <w:rFonts w:ascii="Times New Roman" w:hAnsi="Times New Roman"/>
                <w:sz w:val="19"/>
              </w:rPr>
              <w:t>SC-BOUND-001</w:t>
            </w:r>
          </w:p>
        </w:tc>
        <w:tc>
          <w:tcPr>
            <w:tcW w:type="dxa" w:w="1930"/>
            <w:vAlign w:val="top"/>
            <w:tcW w:type="dxa" w:w="1848"/>
          </w:tcPr>
          <w:p>
            <w:pPr>
              <w:spacing w:before="20" w:after="40"/>
            </w:pPr>
            <w:r>
              <w:rPr>
                <w:rFonts w:ascii="Times New Roman" w:hAnsi="Times New Roman"/>
                <w:sz w:val="19"/>
              </w:rPr>
              <w:t>No complete application-level mitigation; **Critical** accepted boundary</w:t>
            </w:r>
          </w:p>
        </w:tc>
      </w:tr>
      <w:tr>
        <w:trPr>
          <w:cantSplit/>
        </w:trPr>
        <w:tc>
          <w:tcPr>
            <w:tcW w:type="dxa" w:w="1930"/>
            <w:vAlign w:val="top"/>
            <w:tcW w:type="dxa" w:w="1848"/>
          </w:tcPr>
          <w:p>
            <w:pPr>
              <w:spacing w:before="20" w:after="40"/>
            </w:pPr>
            <w:r>
              <w:rPr>
                <w:rFonts w:ascii="Times New Roman" w:hAnsi="Times New Roman"/>
                <w:sz w:val="19"/>
              </w:rPr>
              <w:t>**THR-PLAT-002 — Android Keystore Trust Failure**</w:t>
            </w:r>
          </w:p>
        </w:tc>
        <w:tc>
          <w:tcPr>
            <w:tcW w:type="dxa" w:w="1930"/>
            <w:vAlign w:val="top"/>
            <w:tcW w:type="dxa" w:w="1848"/>
          </w:tcPr>
          <w:p>
            <w:pPr>
              <w:spacing w:before="20" w:after="40"/>
            </w:pPr>
            <w:r>
              <w:rPr>
                <w:rFonts w:ascii="Times New Roman" w:hAnsi="Times New Roman"/>
                <w:sz w:val="19"/>
              </w:rPr>
              <w:t>Android or hardware fails to preserve the Keystore security properties</w:t>
            </w:r>
          </w:p>
        </w:tc>
        <w:tc>
          <w:tcPr>
            <w:tcW w:type="dxa" w:w="1930"/>
            <w:vAlign w:val="top"/>
            <w:tcW w:type="dxa" w:w="1848"/>
          </w:tcPr>
          <w:p>
            <w:pPr>
              <w:spacing w:before="20" w:after="40"/>
            </w:pPr>
            <w:r>
              <w:rPr>
                <w:rFonts w:ascii="Times New Roman" w:hAnsi="Times New Roman"/>
                <w:sz w:val="19"/>
              </w:rPr>
              <w:t>Keys or protected local data may be exposed</w:t>
            </w:r>
          </w:p>
        </w:tc>
        <w:tc>
          <w:tcPr>
            <w:tcW w:type="dxa" w:w="1930"/>
            <w:vAlign w:val="top"/>
            <w:tcW w:type="dxa" w:w="1848"/>
          </w:tcPr>
          <w:p>
            <w:pPr>
              <w:spacing w:before="20" w:after="40"/>
            </w:pPr>
            <w:r>
              <w:rPr>
                <w:rFonts w:ascii="Times New Roman" w:hAnsi="Times New Roman"/>
                <w:sz w:val="19"/>
              </w:rPr>
              <w:t>SC-DATA-002, SC-BOUND-001</w:t>
            </w:r>
          </w:p>
        </w:tc>
        <w:tc>
          <w:tcPr>
            <w:tcW w:type="dxa" w:w="1930"/>
            <w:vAlign w:val="top"/>
            <w:tcW w:type="dxa" w:w="1848"/>
          </w:tcPr>
          <w:p>
            <w:pPr>
              <w:spacing w:before="20" w:after="40"/>
            </w:pPr>
            <w:r>
              <w:rPr>
                <w:rFonts w:ascii="Times New Roman" w:hAnsi="Times New Roman"/>
                <w:sz w:val="19"/>
              </w:rPr>
              <w:t>No complete application-level mitigation; **Critical** accepted boundary</w:t>
            </w:r>
          </w:p>
        </w:tc>
      </w:tr>
      <w:tr>
        <w:trPr>
          <w:cantSplit/>
        </w:trPr>
        <w:tc>
          <w:tcPr>
            <w:tcW w:type="dxa" w:w="1930"/>
            <w:vAlign w:val="top"/>
            <w:tcW w:type="dxa" w:w="1848"/>
          </w:tcPr>
          <w:p>
            <w:pPr>
              <w:spacing w:before="20" w:after="40"/>
            </w:pPr>
            <w:r>
              <w:rPr>
                <w:rFonts w:ascii="Times New Roman" w:hAnsi="Times New Roman"/>
                <w:sz w:val="19"/>
              </w:rPr>
              <w:t>**THR-PLAT-003 — Android Framework Security Behavior Changes**</w:t>
            </w:r>
          </w:p>
        </w:tc>
        <w:tc>
          <w:tcPr>
            <w:tcW w:type="dxa" w:w="1930"/>
            <w:vAlign w:val="top"/>
            <w:tcW w:type="dxa" w:w="1848"/>
          </w:tcPr>
          <w:p>
            <w:pPr>
              <w:spacing w:before="20" w:after="40"/>
            </w:pPr>
            <w:r>
              <w:rPr>
                <w:rFonts w:ascii="Times New Roman" w:hAnsi="Times New Roman"/>
                <w:sz w:val="19"/>
              </w:rPr>
              <w:t>A supported Android update changes permission, biometric, lifecycle, notification, or window behavior</w:t>
            </w:r>
          </w:p>
        </w:tc>
        <w:tc>
          <w:tcPr>
            <w:tcW w:type="dxa" w:w="1930"/>
            <w:vAlign w:val="top"/>
            <w:tcW w:type="dxa" w:w="1848"/>
          </w:tcPr>
          <w:p>
            <w:pPr>
              <w:spacing w:before="20" w:after="40"/>
            </w:pPr>
            <w:r>
              <w:rPr>
                <w:rFonts w:ascii="Times New Roman" w:hAnsi="Times New Roman"/>
                <w:sz w:val="19"/>
              </w:rPr>
              <w:t>Protection may fail or become misleading</w:t>
            </w:r>
          </w:p>
        </w:tc>
        <w:tc>
          <w:tcPr>
            <w:tcW w:type="dxa" w:w="1930"/>
            <w:vAlign w:val="top"/>
            <w:tcW w:type="dxa" w:w="1848"/>
          </w:tcPr>
          <w:p>
            <w:pPr>
              <w:spacing w:before="20" w:after="40"/>
            </w:pPr>
            <w:r>
              <w:rPr>
                <w:rFonts w:ascii="Times New Roman" w:hAnsi="Times New Roman"/>
                <w:sz w:val="19"/>
              </w:rPr>
              <w:t>SC-BOUND-001, SC-HEALTH-001, SC-BUILD-002</w:t>
            </w:r>
          </w:p>
        </w:tc>
        <w:tc>
          <w:tcPr>
            <w:tcW w:type="dxa" w:w="1930"/>
            <w:vAlign w:val="top"/>
            <w:tcW w:type="dxa" w:w="1848"/>
          </w:tcPr>
          <w:p>
            <w:pPr>
              <w:spacing w:before="20" w:after="40"/>
            </w:pPr>
            <w:r>
              <w:rPr>
                <w:rFonts w:ascii="Times New Roman" w:hAnsi="Times New Roman"/>
                <w:sz w:val="19"/>
              </w:rPr>
              <w:t>Unknown platform changes require compatibility verification; **High**</w:t>
            </w:r>
          </w:p>
        </w:tc>
      </w:tr>
      <w:tr>
        <w:trPr>
          <w:cantSplit/>
        </w:trPr>
        <w:tc>
          <w:tcPr>
            <w:tcW w:type="dxa" w:w="1930"/>
            <w:vAlign w:val="top"/>
            <w:tcW w:type="dxa" w:w="1848"/>
          </w:tcPr>
          <w:p>
            <w:pPr>
              <w:spacing w:before="20" w:after="40"/>
            </w:pPr>
            <w:r>
              <w:rPr>
                <w:rFonts w:ascii="Times New Roman" w:hAnsi="Times New Roman"/>
                <w:sz w:val="19"/>
              </w:rPr>
              <w:t>**THR-PLAT-004 — OEM Security or Power-Management Interference**</w:t>
            </w:r>
          </w:p>
        </w:tc>
        <w:tc>
          <w:tcPr>
            <w:tcW w:type="dxa" w:w="1930"/>
            <w:vAlign w:val="top"/>
            <w:tcW w:type="dxa" w:w="1848"/>
          </w:tcPr>
          <w:p>
            <w:pPr>
              <w:spacing w:before="20" w:after="40"/>
            </w:pPr>
            <w:r>
              <w:rPr>
                <w:rFonts w:ascii="Times New Roman" w:hAnsi="Times New Roman"/>
                <w:sz w:val="19"/>
              </w:rPr>
              <w:t>Manufacturer changes suppress execution, delay events, or alter settings behavior</w:t>
            </w:r>
          </w:p>
        </w:tc>
        <w:tc>
          <w:tcPr>
            <w:tcW w:type="dxa" w:w="1930"/>
            <w:vAlign w:val="top"/>
            <w:tcW w:type="dxa" w:w="1848"/>
          </w:tcPr>
          <w:p>
            <w:pPr>
              <w:spacing w:before="20" w:after="40"/>
            </w:pPr>
            <w:r>
              <w:rPr>
                <w:rFonts w:ascii="Times New Roman" w:hAnsi="Times New Roman"/>
                <w:sz w:val="19"/>
              </w:rPr>
              <w:t>Detection and presentation may become unreliable</w:t>
            </w:r>
          </w:p>
        </w:tc>
        <w:tc>
          <w:tcPr>
            <w:tcW w:type="dxa" w:w="1930"/>
            <w:vAlign w:val="top"/>
            <w:tcW w:type="dxa" w:w="1848"/>
          </w:tcPr>
          <w:p>
            <w:pPr>
              <w:spacing w:before="20" w:after="40"/>
            </w:pPr>
            <w:r>
              <w:rPr>
                <w:rFonts w:ascii="Times New Roman" w:hAnsi="Times New Roman"/>
                <w:sz w:val="19"/>
              </w:rPr>
              <w:t>SC-LIFE-001, SC-HEALTH-001, SC-BOUND-001</w:t>
            </w:r>
          </w:p>
        </w:tc>
        <w:tc>
          <w:tcPr>
            <w:tcW w:type="dxa" w:w="1930"/>
            <w:vAlign w:val="top"/>
            <w:tcW w:type="dxa" w:w="1848"/>
          </w:tcPr>
          <w:p>
            <w:pPr>
              <w:spacing w:before="20" w:after="40"/>
            </w:pPr>
            <w:r>
              <w:rPr>
                <w:rFonts w:ascii="Times New Roman" w:hAnsi="Times New Roman"/>
                <w:sz w:val="19"/>
              </w:rPr>
              <w:t>Universal manufacturer behavior is not guaranteed; **High**</w:t>
            </w:r>
          </w:p>
        </w:tc>
      </w:tr>
      <w:tr>
        <w:trPr>
          <w:cantSplit/>
        </w:trPr>
        <w:tc>
          <w:tcPr>
            <w:tcW w:type="dxa" w:w="1930"/>
            <w:vAlign w:val="top"/>
            <w:tcW w:type="dxa" w:w="1848"/>
          </w:tcPr>
          <w:p>
            <w:pPr>
              <w:spacing w:before="20" w:after="40"/>
            </w:pPr>
            <w:r>
              <w:rPr>
                <w:rFonts w:ascii="Times New Roman" w:hAnsi="Times New Roman"/>
                <w:sz w:val="19"/>
              </w:rPr>
              <w:t>**THR-SUP-001 — Malicious Dependency**</w:t>
            </w:r>
          </w:p>
        </w:tc>
        <w:tc>
          <w:tcPr>
            <w:tcW w:type="dxa" w:w="1930"/>
            <w:vAlign w:val="top"/>
            <w:tcW w:type="dxa" w:w="1848"/>
          </w:tcPr>
          <w:p>
            <w:pPr>
              <w:spacing w:before="20" w:after="40"/>
            </w:pPr>
            <w:r>
              <w:rPr>
                <w:rFonts w:ascii="Times New Roman" w:hAnsi="Times New Roman"/>
                <w:sz w:val="19"/>
              </w:rPr>
              <w:t>A packaged dependency alters security decisions, records secrets, or exposes a component</w:t>
            </w:r>
          </w:p>
        </w:tc>
        <w:tc>
          <w:tcPr>
            <w:tcW w:type="dxa" w:w="1930"/>
            <w:vAlign w:val="top"/>
            <w:tcW w:type="dxa" w:w="1848"/>
          </w:tcPr>
          <w:p>
            <w:pPr>
              <w:spacing w:before="20" w:after="40"/>
            </w:pPr>
            <w:r>
              <w:rPr>
                <w:rFonts w:ascii="Times New Roman" w:hAnsi="Times New Roman"/>
                <w:sz w:val="19"/>
              </w:rPr>
              <w:t>Authentication, storage, or protection may be compromised</w:t>
            </w:r>
          </w:p>
        </w:tc>
        <w:tc>
          <w:tcPr>
            <w:tcW w:type="dxa" w:w="1930"/>
            <w:vAlign w:val="top"/>
            <w:tcW w:type="dxa" w:w="1848"/>
          </w:tcPr>
          <w:p>
            <w:pPr>
              <w:spacing w:before="20" w:after="40"/>
            </w:pPr>
            <w:r>
              <w:rPr>
                <w:rFonts w:ascii="Times New Roman" w:hAnsi="Times New Roman"/>
                <w:sz w:val="19"/>
              </w:rPr>
              <w:t>SC-BUILD-002</w:t>
            </w:r>
          </w:p>
        </w:tc>
        <w:tc>
          <w:tcPr>
            <w:tcW w:type="dxa" w:w="1930"/>
            <w:vAlign w:val="top"/>
            <w:tcW w:type="dxa" w:w="1848"/>
          </w:tcPr>
          <w:p>
            <w:pPr>
              <w:spacing w:before="20" w:after="40"/>
            </w:pPr>
            <w:r>
              <w:rPr>
                <w:rFonts w:ascii="Times New Roman" w:hAnsi="Times New Roman"/>
                <w:sz w:val="19"/>
              </w:rPr>
              <w:t>Review cannot prove absence of all malicious behavior; **Medium**</w:t>
            </w:r>
          </w:p>
        </w:tc>
      </w:tr>
      <w:tr>
        <w:trPr>
          <w:cantSplit/>
        </w:trPr>
        <w:tc>
          <w:tcPr>
            <w:tcW w:type="dxa" w:w="1930"/>
            <w:vAlign w:val="top"/>
            <w:tcW w:type="dxa" w:w="1848"/>
          </w:tcPr>
          <w:p>
            <w:pPr>
              <w:spacing w:before="20" w:after="40"/>
            </w:pPr>
            <w:r>
              <w:rPr>
                <w:rFonts w:ascii="Times New Roman" w:hAnsi="Times New Roman"/>
                <w:sz w:val="19"/>
              </w:rPr>
              <w:t>**THR-SUP-002 — Dependency Update Introduces Security Regression**</w:t>
            </w:r>
          </w:p>
        </w:tc>
        <w:tc>
          <w:tcPr>
            <w:tcW w:type="dxa" w:w="1930"/>
            <w:vAlign w:val="top"/>
            <w:tcW w:type="dxa" w:w="1848"/>
          </w:tcPr>
          <w:p>
            <w:pPr>
              <w:spacing w:before="20" w:after="40"/>
            </w:pPr>
            <w:r>
              <w:rPr>
                <w:rFonts w:ascii="Times New Roman" w:hAnsi="Times New Roman"/>
                <w:sz w:val="19"/>
              </w:rPr>
              <w:t>An updated library changes cryptography, database, biometric, lifecycle, or UI behavior</w:t>
            </w:r>
          </w:p>
        </w:tc>
        <w:tc>
          <w:tcPr>
            <w:tcW w:type="dxa" w:w="1930"/>
            <w:vAlign w:val="top"/>
            <w:tcW w:type="dxa" w:w="1848"/>
          </w:tcPr>
          <w:p>
            <w:pPr>
              <w:spacing w:before="20" w:after="40"/>
            </w:pPr>
            <w:r>
              <w:rPr>
                <w:rFonts w:ascii="Times New Roman" w:hAnsi="Times New Roman"/>
                <w:sz w:val="19"/>
              </w:rPr>
              <w:t>A previously controlled threat reappears</w:t>
            </w:r>
          </w:p>
        </w:tc>
        <w:tc>
          <w:tcPr>
            <w:tcW w:type="dxa" w:w="1930"/>
            <w:vAlign w:val="top"/>
            <w:tcW w:type="dxa" w:w="1848"/>
          </w:tcPr>
          <w:p>
            <w:pPr>
              <w:spacing w:before="20" w:after="40"/>
            </w:pPr>
            <w:r>
              <w:rPr>
                <w:rFonts w:ascii="Times New Roman" w:hAnsi="Times New Roman"/>
                <w:sz w:val="19"/>
              </w:rPr>
              <w:t>SC-BUILD-002, Section 8 acceptance scenarios</w:t>
            </w:r>
          </w:p>
        </w:tc>
        <w:tc>
          <w:tcPr>
            <w:tcW w:type="dxa" w:w="1930"/>
            <w:vAlign w:val="top"/>
            <w:tcW w:type="dxa" w:w="1848"/>
          </w:tcPr>
          <w:p>
            <w:pPr>
              <w:spacing w:before="20" w:after="40"/>
            </w:pPr>
            <w:r>
              <w:rPr>
                <w:rFonts w:ascii="Times New Roman" w:hAnsi="Times New Roman"/>
                <w:sz w:val="19"/>
              </w:rPr>
              <w:t>Residual risk is **Low** after retained-surface regression verification</w:t>
            </w:r>
          </w:p>
        </w:tc>
      </w:tr>
      <w:tr>
        <w:trPr>
          <w:cantSplit/>
        </w:trPr>
        <w:tc>
          <w:tcPr>
            <w:tcW w:type="dxa" w:w="1930"/>
            <w:vAlign w:val="top"/>
            <w:tcW w:type="dxa" w:w="1848"/>
          </w:tcPr>
          <w:p>
            <w:pPr>
              <w:spacing w:before="20" w:after="40"/>
            </w:pPr>
            <w:r>
              <w:rPr>
                <w:rFonts w:ascii="Times New Roman" w:hAnsi="Times New Roman"/>
                <w:sz w:val="19"/>
              </w:rPr>
              <w:t>**THR-SUP-003 — Build or Release Integrity Failure**</w:t>
            </w:r>
          </w:p>
        </w:tc>
        <w:tc>
          <w:tcPr>
            <w:tcW w:type="dxa" w:w="1930"/>
            <w:vAlign w:val="top"/>
            <w:tcW w:type="dxa" w:w="1848"/>
          </w:tcPr>
          <w:p>
            <w:pPr>
              <w:spacing w:before="20" w:after="40"/>
            </w:pPr>
            <w:r>
              <w:rPr>
                <w:rFonts w:ascii="Times New Roman" w:hAnsi="Times New Roman"/>
                <w:sz w:val="19"/>
              </w:rPr>
              <w:t>An incorrect, altered, unsigned, or inconsistently configured package is distributed</w:t>
            </w:r>
          </w:p>
        </w:tc>
        <w:tc>
          <w:tcPr>
            <w:tcW w:type="dxa" w:w="1930"/>
            <w:vAlign w:val="top"/>
            <w:tcW w:type="dxa" w:w="1848"/>
          </w:tcPr>
          <w:p>
            <w:pPr>
              <w:spacing w:before="20" w:after="40"/>
            </w:pPr>
            <w:r>
              <w:rPr>
                <w:rFonts w:ascii="Times New Roman" w:hAnsi="Times New Roman"/>
                <w:sz w:val="19"/>
              </w:rPr>
              <w:t>Users receive behavior that does not satisfy this Threat Model</w:t>
            </w:r>
          </w:p>
        </w:tc>
        <w:tc>
          <w:tcPr>
            <w:tcW w:type="dxa" w:w="1930"/>
            <w:vAlign w:val="top"/>
            <w:tcW w:type="dxa" w:w="1848"/>
          </w:tcPr>
          <w:p>
            <w:pPr>
              <w:spacing w:before="20" w:after="40"/>
            </w:pPr>
            <w:r>
              <w:rPr>
                <w:rFonts w:ascii="Times New Roman" w:hAnsi="Times New Roman"/>
                <w:sz w:val="19"/>
              </w:rPr>
              <w:t>SC-BUILD-001, SC-BUILD-002</w:t>
            </w:r>
          </w:p>
        </w:tc>
        <w:tc>
          <w:tcPr>
            <w:tcW w:type="dxa" w:w="1930"/>
            <w:vAlign w:val="top"/>
            <w:tcW w:type="dxa" w:w="1848"/>
          </w:tcPr>
          <w:p>
            <w:pPr>
              <w:spacing w:before="20" w:after="40"/>
            </w:pPr>
            <w:r>
              <w:rPr>
                <w:rFonts w:ascii="Times New Roman" w:hAnsi="Times New Roman"/>
                <w:sz w:val="19"/>
              </w:rPr>
              <w:t>Signing-account or distribution-platform compromise remains external; **Medium**</w:t>
            </w:r>
          </w:p>
        </w:tc>
      </w:tr>
    </w:tbl>
    <w:p>
      <w:pPr>
        <w:pStyle w:val="Heading2"/>
        <w:jc w:val="left"/>
      </w:pPr>
      <w:r>
        <w:t>5.10 Removed Threat Domains</w:t>
      </w:r>
    </w:p>
    <w:p>
      <w:pPr>
        <w:jc w:val="left"/>
      </w:pPr>
      <w:r>
        <w:t>The following established threat domains do not apply to Version 1.0.0 and are intentionally absent from the retained register:</w:t>
      </w:r>
    </w:p>
    <w:p>
      <w:pPr>
        <w:pStyle w:val="ListBullet"/>
        <w:jc w:val="left"/>
      </w:pPr>
      <w:r>
        <w:t xml:space="preserve">all </w:t>
      </w:r>
      <w:r>
        <w:t>THR-VAULT-*</w:t>
      </w:r>
      <w:r>
        <w:t xml:space="preserve"> threats;</w:t>
      </w:r>
    </w:p>
    <w:p>
      <w:pPr>
        <w:pStyle w:val="ListBullet"/>
        <w:jc w:val="left"/>
      </w:pPr>
      <w:r>
        <w:t>THR-CRYPTO-003</w:t>
      </w:r>
      <w:r>
        <w:t>, which is specific to Vault-file key material;</w:t>
      </w:r>
    </w:p>
    <w:p>
      <w:pPr>
        <w:pStyle w:val="ListBullet"/>
        <w:jc w:val="left"/>
      </w:pPr>
      <w:r>
        <w:t xml:space="preserve">all App Lock Accessibility-service availability threats, including </w:t>
      </w:r>
      <w:r>
        <w:t>THR-ACC-001</w:t>
      </w:r>
      <w:r>
        <w:t xml:space="preserve">, </w:t>
      </w:r>
      <w:r>
        <w:t>THR-ACC-002</w:t>
      </w:r>
      <w:r>
        <w:t xml:space="preserve">, </w:t>
      </w:r>
      <w:r>
        <w:t>THR-ACC-003</w:t>
      </w:r>
      <w:r>
        <w:t xml:space="preserve">, and </w:t>
      </w:r>
      <w:r>
        <w:t>THR-ACC-005</w:t>
      </w:r>
      <w:r>
        <w:t>;</w:t>
      </w:r>
    </w:p>
    <w:p>
      <w:pPr>
        <w:pStyle w:val="ListBullet"/>
        <w:jc w:val="left"/>
      </w:pPr>
      <w:r>
        <w:t xml:space="preserve">all </w:t>
      </w:r>
      <w:r>
        <w:t>THR-DA-*</w:t>
      </w:r>
      <w:r>
        <w:t xml:space="preserve"> device-administrator threats;</w:t>
      </w:r>
    </w:p>
    <w:p>
      <w:pPr>
        <w:pStyle w:val="ListBullet"/>
        <w:jc w:val="left"/>
      </w:pPr>
      <w:r>
        <w:t>THR-AUD-002</w:t>
      </w:r>
      <w:r>
        <w:t>, which concerns intruder-event disclosure;</w:t>
      </w:r>
    </w:p>
    <w:p>
      <w:pPr>
        <w:pStyle w:val="ListBullet"/>
        <w:jc w:val="left"/>
      </w:pPr>
      <w:r>
        <w:t>THR-REC-004</w:t>
      </w:r>
      <w:r>
        <w:t>, which concerns backup and restore;</w:t>
      </w:r>
    </w:p>
    <w:p>
      <w:pPr>
        <w:pStyle w:val="ListBullet"/>
        <w:jc w:val="left"/>
      </w:pPr>
      <w:r>
        <w:t>network-service threats associated with accounts, cloud storage, synchronization, telemetry transmission, or remote administration.</w:t>
      </w:r>
    </w:p>
    <w:p>
      <w:pPr>
        <w:jc w:val="left"/>
      </w:pPr>
      <w:r>
        <w:t xml:space="preserve">The hostile peer Accessibility threat remains as </w:t>
      </w:r>
      <w:r>
        <w:t>THR-ACC-004</w:t>
      </w:r>
      <w:r>
        <w:t xml:space="preserve"> because another user-authorized service can attack the App Lock authentication interface even though App Lock itself provides no Accessibility service.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