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Threat Model</w:t>
      </w:r>
    </w:p>
    <w:p>
      <w:pPr>
        <w:pStyle w:val="Heading1"/>
        <w:jc w:val="left"/>
      </w:pPr>
      <w:r>
        <w:t>Version 1.0.0</w:t>
      </w:r>
    </w:p>
    <w:p>
      <w:pPr>
        <w:pStyle w:val="Heading1"/>
        <w:jc w:val="left"/>
      </w:pPr>
      <w:r>
        <w:t>7. Risk Assessment and Accepted Limitations</w:t>
      </w:r>
    </w:p>
    <w:p>
      <w:pPr>
        <w:pStyle w:val="Heading2"/>
        <w:jc w:val="left"/>
      </w:pPr>
      <w:r>
        <w:t>7.1 Risk Treatment</w:t>
      </w:r>
    </w:p>
    <w:p>
      <w:pPr>
        <w:jc w:val="left"/>
      </w:pPr>
      <w:r>
        <w:t>Critical and High risks within the supported application boundary require a preventive control, a detection and recovery control, or both. A threat shall not be described as mitigated where the application only displays a warning. Medium risks require proportionate controls and verification. Low risks may be accepted where their effect is bounded and does not undermine the core authorization promise.</w:t>
      </w:r>
    </w:p>
    <w:p>
      <w:pPr>
        <w:jc w:val="left"/>
      </w:pPr>
      <w:r>
        <w:t>Root/system compromise, force-stop, application uninstall, application-data clearing, platform Keystore failure, and Android-controlled execution limits cannot be eliminated by an ordinary App Lock application. They are accepted boundaries only when stated accurately and when the application does not create an additional bypass inside the boundary it does control.</w:t>
      </w:r>
    </w:p>
    <w:p>
      <w:pPr>
        <w:pStyle w:val="Heading2"/>
        <w:jc w:val="left"/>
      </w:pPr>
      <w:r>
        <w:t>7.2 Residual-Limitation Register</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Limitation</w:t>
            </w:r>
          </w:p>
        </w:tc>
        <w:tc>
          <w:tcPr>
            <w:tcW w:type="dxa" w:w="3216"/>
            <w:vAlign w:val="center"/>
            <w:shd w:fill="D9E1F2"/>
            <w:tcW w:type="dxa" w:w="3080"/>
          </w:tcPr>
          <w:p>
            <w:pPr>
              <w:spacing w:after="40"/>
            </w:pPr>
            <w:r>
              <w:rPr>
                <w:rFonts w:ascii="Times New Roman" w:hAnsi="Times New Roman"/>
                <w:b/>
                <w:sz w:val="19"/>
              </w:rPr>
              <w:t>Residual consequence</w:t>
            </w:r>
          </w:p>
        </w:tc>
        <w:tc>
          <w:tcPr>
            <w:tcW w:type="dxa" w:w="3216"/>
            <w:vAlign w:val="center"/>
            <w:shd w:fill="D9E1F2"/>
            <w:tcW w:type="dxa" w:w="3080"/>
          </w:tcPr>
          <w:p>
            <w:pPr>
              <w:spacing w:after="40"/>
            </w:pPr>
            <w:r>
              <w:rPr>
                <w:rFonts w:ascii="Times New Roman" w:hAnsi="Times New Roman"/>
                <w:b/>
                <w:sz w:val="19"/>
              </w:rPr>
              <w:t>Required representation</w:t>
            </w:r>
          </w:p>
        </w:tc>
      </w:tr>
      <w:tr>
        <w:trPr>
          <w:cantSplit/>
        </w:trPr>
        <w:tc>
          <w:tcPr>
            <w:tcW w:type="dxa" w:w="3216"/>
            <w:vAlign w:val="top"/>
            <w:tcW w:type="dxa" w:w="3080"/>
          </w:tcPr>
          <w:p>
            <w:pPr>
              <w:spacing w:before="20" w:after="40"/>
            </w:pPr>
            <w:r>
              <w:rPr>
                <w:rFonts w:ascii="Times New Roman" w:hAnsi="Times New Roman"/>
                <w:sz w:val="19"/>
              </w:rPr>
              <w:t>Foreground detection timing</w:t>
            </w:r>
          </w:p>
        </w:tc>
        <w:tc>
          <w:tcPr>
            <w:tcW w:type="dxa" w:w="3216"/>
            <w:vAlign w:val="top"/>
            <w:tcW w:type="dxa" w:w="3080"/>
          </w:tcPr>
          <w:p>
            <w:pPr>
              <w:spacing w:before="20" w:after="40"/>
            </w:pPr>
            <w:r>
              <w:rPr>
                <w:rFonts w:ascii="Times New Roman" w:hAnsi="Times New Roman"/>
                <w:sz w:val="19"/>
              </w:rPr>
              <w:t>Android Usage Access may not report a transition instantly; limited content may appear before lock presentation</w:t>
            </w:r>
          </w:p>
        </w:tc>
        <w:tc>
          <w:tcPr>
            <w:tcW w:type="dxa" w:w="3216"/>
            <w:vAlign w:val="top"/>
            <w:tcW w:type="dxa" w:w="3080"/>
          </w:tcPr>
          <w:p>
            <w:pPr>
              <w:spacing w:before="20" w:after="40"/>
            </w:pPr>
            <w:r>
              <w:rPr>
                <w:rFonts w:ascii="Times New Roman" w:hAnsi="Times New Roman"/>
                <w:sz w:val="19"/>
              </w:rPr>
              <w:t>Do not promise zero-latency interception; verify and describe measured behavior for supported phones</w:t>
            </w:r>
          </w:p>
        </w:tc>
      </w:tr>
      <w:tr>
        <w:trPr>
          <w:cantSplit/>
        </w:trPr>
        <w:tc>
          <w:tcPr>
            <w:tcW w:type="dxa" w:w="3216"/>
            <w:vAlign w:val="top"/>
            <w:tcW w:type="dxa" w:w="3080"/>
          </w:tcPr>
          <w:p>
            <w:pPr>
              <w:spacing w:before="20" w:after="40"/>
            </w:pPr>
            <w:r>
              <w:rPr>
                <w:rFonts w:ascii="Times New Roman" w:hAnsi="Times New Roman"/>
                <w:sz w:val="19"/>
              </w:rPr>
              <w:t>Lock-presentation timing</w:t>
            </w:r>
          </w:p>
        </w:tc>
        <w:tc>
          <w:tcPr>
            <w:tcW w:type="dxa" w:w="3216"/>
            <w:vAlign w:val="top"/>
            <w:tcW w:type="dxa" w:w="3080"/>
          </w:tcPr>
          <w:p>
            <w:pPr>
              <w:spacing w:before="20" w:after="40"/>
            </w:pPr>
            <w:r>
              <w:rPr>
                <w:rFonts w:ascii="Times New Roman" w:hAnsi="Times New Roman"/>
                <w:sz w:val="19"/>
              </w:rPr>
              <w:t>Android controls whether and when a background application may present its interface</w:t>
            </w:r>
          </w:p>
        </w:tc>
        <w:tc>
          <w:tcPr>
            <w:tcW w:type="dxa" w:w="3216"/>
            <w:vAlign w:val="top"/>
            <w:tcW w:type="dxa" w:w="3080"/>
          </w:tcPr>
          <w:p>
            <w:pPr>
              <w:spacing w:before="20" w:after="40"/>
            </w:pPr>
            <w:r>
              <w:rPr>
                <w:rFonts w:ascii="Times New Roman" w:hAnsi="Times New Roman"/>
                <w:sz w:val="19"/>
              </w:rPr>
              <w:t>Report Protection interrupted or Unknown or not verified when presentation cannot be established</w:t>
            </w:r>
          </w:p>
        </w:tc>
      </w:tr>
      <w:tr>
        <w:trPr>
          <w:cantSplit/>
        </w:trPr>
        <w:tc>
          <w:tcPr>
            <w:tcW w:type="dxa" w:w="3216"/>
            <w:vAlign w:val="top"/>
            <w:tcW w:type="dxa" w:w="3080"/>
          </w:tcPr>
          <w:p>
            <w:pPr>
              <w:spacing w:before="20" w:after="40"/>
            </w:pPr>
            <w:r>
              <w:rPr>
                <w:rFonts w:ascii="Times New Roman" w:hAnsi="Times New Roman"/>
                <w:sz w:val="19"/>
              </w:rPr>
              <w:t>Permission revocation</w:t>
            </w:r>
          </w:p>
        </w:tc>
        <w:tc>
          <w:tcPr>
            <w:tcW w:type="dxa" w:w="3216"/>
            <w:vAlign w:val="top"/>
            <w:tcW w:type="dxa" w:w="3080"/>
          </w:tcPr>
          <w:p>
            <w:pPr>
              <w:spacing w:before="20" w:after="40"/>
            </w:pPr>
            <w:r>
              <w:rPr>
                <w:rFonts w:ascii="Times New Roman" w:hAnsi="Times New Roman"/>
                <w:sz w:val="19"/>
              </w:rPr>
              <w:t>The user or Android can remove required capabilities</w:t>
            </w:r>
          </w:p>
        </w:tc>
        <w:tc>
          <w:tcPr>
            <w:tcW w:type="dxa" w:w="3216"/>
            <w:vAlign w:val="top"/>
            <w:tcW w:type="dxa" w:w="3080"/>
          </w:tcPr>
          <w:p>
            <w:pPr>
              <w:spacing w:before="20" w:after="40"/>
            </w:pPr>
            <w:r>
              <w:rPr>
                <w:rFonts w:ascii="Times New Roman" w:hAnsi="Times New Roman"/>
                <w:sz w:val="19"/>
              </w:rPr>
              <w:t>Detect when possible, guide recovery, and never claim healthy protection after known loss</w:t>
            </w:r>
          </w:p>
        </w:tc>
      </w:tr>
      <w:tr>
        <w:trPr>
          <w:cantSplit/>
        </w:trPr>
        <w:tc>
          <w:tcPr>
            <w:tcW w:type="dxa" w:w="3216"/>
            <w:vAlign w:val="top"/>
            <w:tcW w:type="dxa" w:w="3080"/>
          </w:tcPr>
          <w:p>
            <w:pPr>
              <w:spacing w:before="20" w:after="40"/>
            </w:pPr>
            <w:r>
              <w:rPr>
                <w:rFonts w:ascii="Times New Roman" w:hAnsi="Times New Roman"/>
                <w:sz w:val="19"/>
              </w:rPr>
              <w:t>Force-stop</w:t>
            </w:r>
          </w:p>
        </w:tc>
        <w:tc>
          <w:tcPr>
            <w:tcW w:type="dxa" w:w="3216"/>
            <w:vAlign w:val="top"/>
            <w:tcW w:type="dxa" w:w="3080"/>
          </w:tcPr>
          <w:p>
            <w:pPr>
              <w:spacing w:before="20" w:after="40"/>
            </w:pPr>
            <w:r>
              <w:rPr>
                <w:rFonts w:ascii="Times New Roman" w:hAnsi="Times New Roman"/>
                <w:sz w:val="19"/>
              </w:rPr>
              <w:t>Android can prevent all App Lock execution</w:t>
            </w:r>
          </w:p>
        </w:tc>
        <w:tc>
          <w:tcPr>
            <w:tcW w:type="dxa" w:w="3216"/>
            <w:vAlign w:val="top"/>
            <w:tcW w:type="dxa" w:w="3080"/>
          </w:tcPr>
          <w:p>
            <w:pPr>
              <w:spacing w:before="20" w:after="40"/>
            </w:pPr>
            <w:r>
              <w:rPr>
                <w:rFonts w:ascii="Times New Roman" w:hAnsi="Times New Roman"/>
                <w:sz w:val="19"/>
              </w:rPr>
              <w:t>State that protection cannot continue while force-stopped</w:t>
            </w:r>
          </w:p>
        </w:tc>
      </w:tr>
      <w:tr>
        <w:trPr>
          <w:cantSplit/>
        </w:trPr>
        <w:tc>
          <w:tcPr>
            <w:tcW w:type="dxa" w:w="3216"/>
            <w:vAlign w:val="top"/>
            <w:tcW w:type="dxa" w:w="3080"/>
          </w:tcPr>
          <w:p>
            <w:pPr>
              <w:spacing w:before="20" w:after="40"/>
            </w:pPr>
            <w:r>
              <w:rPr>
                <w:rFonts w:ascii="Times New Roman" w:hAnsi="Times New Roman"/>
                <w:sz w:val="19"/>
              </w:rPr>
              <w:t>Manufacturer power restrictions</w:t>
            </w:r>
          </w:p>
        </w:tc>
        <w:tc>
          <w:tcPr>
            <w:tcW w:type="dxa" w:w="3216"/>
            <w:vAlign w:val="top"/>
            <w:tcW w:type="dxa" w:w="3080"/>
          </w:tcPr>
          <w:p>
            <w:pPr>
              <w:spacing w:before="20" w:after="40"/>
            </w:pPr>
            <w:r>
              <w:rPr>
                <w:rFonts w:ascii="Times New Roman" w:hAnsi="Times New Roman"/>
                <w:sz w:val="19"/>
              </w:rPr>
              <w:t>A manufacturer may delay or terminate background work</w:t>
            </w:r>
          </w:p>
        </w:tc>
        <w:tc>
          <w:tcPr>
            <w:tcW w:type="dxa" w:w="3216"/>
            <w:vAlign w:val="top"/>
            <w:tcW w:type="dxa" w:w="3080"/>
          </w:tcPr>
          <w:p>
            <w:pPr>
              <w:spacing w:before="20" w:after="40"/>
            </w:pPr>
            <w:r>
              <w:rPr>
                <w:rFonts w:ascii="Times New Roman" w:hAnsi="Times New Roman"/>
                <w:sz w:val="19"/>
              </w:rPr>
              <w:t>Use Degraded, Protection interrupted, or Unknown or not verified status as supported by actual evidence; do not claim universal behavior</w:t>
            </w:r>
          </w:p>
        </w:tc>
      </w:tr>
      <w:tr>
        <w:trPr>
          <w:cantSplit/>
        </w:trPr>
        <w:tc>
          <w:tcPr>
            <w:tcW w:type="dxa" w:w="3216"/>
            <w:vAlign w:val="top"/>
            <w:tcW w:type="dxa" w:w="3080"/>
          </w:tcPr>
          <w:p>
            <w:pPr>
              <w:spacing w:before="20" w:after="40"/>
            </w:pPr>
            <w:r>
              <w:rPr>
                <w:rFonts w:ascii="Times New Roman" w:hAnsi="Times New Roman"/>
                <w:sz w:val="19"/>
              </w:rPr>
              <w:t>Reboot/startup ordering</w:t>
            </w:r>
          </w:p>
        </w:tc>
        <w:tc>
          <w:tcPr>
            <w:tcW w:type="dxa" w:w="3216"/>
            <w:vAlign w:val="top"/>
            <w:tcW w:type="dxa" w:w="3080"/>
          </w:tcPr>
          <w:p>
            <w:pPr>
              <w:spacing w:before="20" w:after="40"/>
            </w:pPr>
            <w:r>
              <w:rPr>
                <w:rFonts w:ascii="Times New Roman" w:hAnsi="Times New Roman"/>
                <w:sz w:val="19"/>
              </w:rPr>
              <w:t>App Lock may not run before another application is usable</w:t>
            </w:r>
          </w:p>
        </w:tc>
        <w:tc>
          <w:tcPr>
            <w:tcW w:type="dxa" w:w="3216"/>
            <w:vAlign w:val="top"/>
            <w:tcW w:type="dxa" w:w="3080"/>
          </w:tcPr>
          <w:p>
            <w:pPr>
              <w:spacing w:before="20" w:after="40"/>
            </w:pPr>
            <w:r>
              <w:rPr>
                <w:rFonts w:ascii="Times New Roman" w:hAnsi="Times New Roman"/>
                <w:sz w:val="19"/>
              </w:rPr>
              <w:t>Clear sessions and restore protection at the earliest Android-permitted opportunity; retain the exposure as High risk</w:t>
            </w:r>
          </w:p>
        </w:tc>
      </w:tr>
      <w:tr>
        <w:trPr>
          <w:cantSplit/>
        </w:trPr>
        <w:tc>
          <w:tcPr>
            <w:tcW w:type="dxa" w:w="3216"/>
            <w:vAlign w:val="top"/>
            <w:tcW w:type="dxa" w:w="3080"/>
          </w:tcPr>
          <w:p>
            <w:pPr>
              <w:spacing w:before="20" w:after="40"/>
            </w:pPr>
            <w:r>
              <w:rPr>
                <w:rFonts w:ascii="Times New Roman" w:hAnsi="Times New Roman"/>
                <w:sz w:val="19"/>
              </w:rPr>
              <w:t>Uninstall or application-data clearing</w:t>
            </w:r>
          </w:p>
        </w:tc>
        <w:tc>
          <w:tcPr>
            <w:tcW w:type="dxa" w:w="3216"/>
            <w:vAlign w:val="top"/>
            <w:tcW w:type="dxa" w:w="3080"/>
          </w:tcPr>
          <w:p>
            <w:pPr>
              <w:spacing w:before="20" w:after="40"/>
            </w:pPr>
            <w:r>
              <w:rPr>
                <w:rFonts w:ascii="Times New Roman" w:hAnsi="Times New Roman"/>
                <w:sz w:val="19"/>
              </w:rPr>
              <w:t>Local credentials and selections are removed, ending App Lock protection</w:t>
            </w:r>
          </w:p>
        </w:tc>
        <w:tc>
          <w:tcPr>
            <w:tcW w:type="dxa" w:w="3216"/>
            <w:vAlign w:val="top"/>
            <w:tcW w:type="dxa" w:w="3080"/>
          </w:tcPr>
          <w:p>
            <w:pPr>
              <w:spacing w:before="20" w:after="40"/>
            </w:pPr>
            <w:r>
              <w:rPr>
                <w:rFonts w:ascii="Times New Roman" w:hAnsi="Times New Roman"/>
                <w:sz w:val="19"/>
              </w:rPr>
              <w:t>Treat as a device-user action outside continuing protection</w:t>
            </w:r>
          </w:p>
        </w:tc>
      </w:tr>
      <w:tr>
        <w:trPr>
          <w:cantSplit/>
        </w:trPr>
        <w:tc>
          <w:tcPr>
            <w:tcW w:type="dxa" w:w="3216"/>
            <w:vAlign w:val="top"/>
            <w:tcW w:type="dxa" w:w="3080"/>
          </w:tcPr>
          <w:p>
            <w:pPr>
              <w:spacing w:before="20" w:after="40"/>
            </w:pPr>
            <w:r>
              <w:rPr>
                <w:rFonts w:ascii="Times New Roman" w:hAnsi="Times New Roman"/>
                <w:sz w:val="19"/>
              </w:rPr>
              <w:t>Destructive forgotten-PIN reset</w:t>
            </w:r>
          </w:p>
        </w:tc>
        <w:tc>
          <w:tcPr>
            <w:tcW w:type="dxa" w:w="3216"/>
            <w:vAlign w:val="top"/>
            <w:tcW w:type="dxa" w:w="3080"/>
          </w:tcPr>
          <w:p>
            <w:pPr>
              <w:spacing w:before="20" w:after="40"/>
            </w:pPr>
            <w:r>
              <w:rPr>
                <w:rFonts w:ascii="Times New Roman" w:hAnsi="Times New Roman"/>
                <w:sz w:val="19"/>
              </w:rPr>
              <w:t>Any person able to reach and confirm reset may erase App Lock configuration; no protected data is recovered</w:t>
            </w:r>
          </w:p>
        </w:tc>
        <w:tc>
          <w:tcPr>
            <w:tcW w:type="dxa" w:w="3216"/>
            <w:vAlign w:val="top"/>
            <w:tcW w:type="dxa" w:w="3080"/>
          </w:tcPr>
          <w:p>
            <w:pPr>
              <w:spacing w:before="20" w:after="40"/>
            </w:pPr>
            <w:r>
              <w:rPr>
                <w:rFonts w:ascii="Times New Roman" w:hAnsi="Times New Roman"/>
                <w:sz w:val="19"/>
              </w:rPr>
              <w:t>Explain the loss and never present reset as authentication</w:t>
            </w:r>
          </w:p>
        </w:tc>
      </w:tr>
      <w:tr>
        <w:trPr>
          <w:cantSplit/>
        </w:trPr>
        <w:tc>
          <w:tcPr>
            <w:tcW w:type="dxa" w:w="3216"/>
            <w:vAlign w:val="top"/>
            <w:tcW w:type="dxa" w:w="3080"/>
          </w:tcPr>
          <w:p>
            <w:pPr>
              <w:spacing w:before="20" w:after="40"/>
            </w:pPr>
            <w:r>
              <w:rPr>
                <w:rFonts w:ascii="Times New Roman" w:hAnsi="Times New Roman"/>
                <w:sz w:val="19"/>
              </w:rPr>
              <w:t>No backup</w:t>
            </w:r>
          </w:p>
        </w:tc>
        <w:tc>
          <w:tcPr>
            <w:tcW w:type="dxa" w:w="3216"/>
            <w:vAlign w:val="top"/>
            <w:tcW w:type="dxa" w:w="3080"/>
          </w:tcPr>
          <w:p>
            <w:pPr>
              <w:spacing w:before="20" w:after="40"/>
            </w:pPr>
            <w:r>
              <w:rPr>
                <w:rFonts w:ascii="Times New Roman" w:hAnsi="Times New Roman"/>
                <w:sz w:val="19"/>
              </w:rPr>
              <w:t>Corruption or Keystore loss may make local configuration irrecoverable</w:t>
            </w:r>
          </w:p>
        </w:tc>
        <w:tc>
          <w:tcPr>
            <w:tcW w:type="dxa" w:w="3216"/>
            <w:vAlign w:val="top"/>
            <w:tcW w:type="dxa" w:w="3080"/>
          </w:tcPr>
          <w:p>
            <w:pPr>
              <w:spacing w:before="20" w:after="40"/>
            </w:pPr>
            <w:r>
              <w:rPr>
                <w:rFonts w:ascii="Times New Roman" w:hAnsi="Times New Roman"/>
                <w:sz w:val="19"/>
              </w:rPr>
              <w:t>Offer full reset only; do not imply data can be restored</w:t>
            </w:r>
          </w:p>
        </w:tc>
      </w:tr>
      <w:tr>
        <w:trPr>
          <w:cantSplit/>
        </w:trPr>
        <w:tc>
          <w:tcPr>
            <w:tcW w:type="dxa" w:w="3216"/>
            <w:vAlign w:val="top"/>
            <w:tcW w:type="dxa" w:w="3080"/>
          </w:tcPr>
          <w:p>
            <w:pPr>
              <w:spacing w:before="20" w:after="40"/>
            </w:pPr>
            <w:r>
              <w:rPr>
                <w:rFonts w:ascii="Times New Roman" w:hAnsi="Times New Roman"/>
                <w:sz w:val="19"/>
              </w:rPr>
              <w:t>Root/system compromise</w:t>
            </w:r>
          </w:p>
        </w:tc>
        <w:tc>
          <w:tcPr>
            <w:tcW w:type="dxa" w:w="3216"/>
            <w:vAlign w:val="top"/>
            <w:tcW w:type="dxa" w:w="3080"/>
          </w:tcPr>
          <w:p>
            <w:pPr>
              <w:spacing w:before="20" w:after="40"/>
            </w:pPr>
            <w:r>
              <w:rPr>
                <w:rFonts w:ascii="Times New Roman" w:hAnsi="Times New Roman"/>
                <w:sz w:val="19"/>
              </w:rPr>
              <w:t>A privileged attacker may alter memory, files, UI, permissions, and Keystore behavior</w:t>
            </w:r>
          </w:p>
        </w:tc>
        <w:tc>
          <w:tcPr>
            <w:tcW w:type="dxa" w:w="3216"/>
            <w:vAlign w:val="top"/>
            <w:tcW w:type="dxa" w:w="3080"/>
          </w:tcPr>
          <w:p>
            <w:pPr>
              <w:spacing w:before="20" w:after="40"/>
            </w:pPr>
            <w:r>
              <w:rPr>
                <w:rFonts w:ascii="Times New Roman" w:hAnsi="Times New Roman"/>
                <w:sz w:val="19"/>
              </w:rPr>
              <w:t>Make no security guarantee in this condition</w:t>
            </w:r>
          </w:p>
        </w:tc>
      </w:tr>
      <w:tr>
        <w:trPr>
          <w:cantSplit/>
        </w:trPr>
        <w:tc>
          <w:tcPr>
            <w:tcW w:type="dxa" w:w="3216"/>
            <w:vAlign w:val="top"/>
            <w:tcW w:type="dxa" w:w="3080"/>
          </w:tcPr>
          <w:p>
            <w:pPr>
              <w:spacing w:before="20" w:after="40"/>
            </w:pPr>
            <w:r>
              <w:rPr>
                <w:rFonts w:ascii="Times New Roman" w:hAnsi="Times New Roman"/>
                <w:sz w:val="19"/>
              </w:rPr>
              <w:t>Hostile privileged UI service</w:t>
            </w:r>
          </w:p>
        </w:tc>
        <w:tc>
          <w:tcPr>
            <w:tcW w:type="dxa" w:w="3216"/>
            <w:vAlign w:val="top"/>
            <w:tcW w:type="dxa" w:w="3080"/>
          </w:tcPr>
          <w:p>
            <w:pPr>
              <w:spacing w:before="20" w:after="40"/>
            </w:pPr>
            <w:r>
              <w:rPr>
                <w:rFonts w:ascii="Times New Roman" w:hAnsi="Times New Roman"/>
                <w:sz w:val="19"/>
              </w:rPr>
              <w:t>A user-authorized overlay or Accessibility service may observe or inject UI actions</w:t>
            </w:r>
          </w:p>
        </w:tc>
        <w:tc>
          <w:tcPr>
            <w:tcW w:type="dxa" w:w="3216"/>
            <w:vAlign w:val="top"/>
            <w:tcW w:type="dxa" w:w="3080"/>
          </w:tcPr>
          <w:p>
            <w:pPr>
              <w:spacing w:before="20" w:after="40"/>
            </w:pPr>
            <w:r>
              <w:rPr>
                <w:rFonts w:ascii="Times New Roman" w:hAnsi="Times New Roman"/>
                <w:sz w:val="19"/>
              </w:rPr>
              <w:t>Apply best-effort screen and input defenses and disclose the limit</w:t>
            </w:r>
          </w:p>
        </w:tc>
      </w:tr>
      <w:tr>
        <w:trPr>
          <w:cantSplit/>
        </w:trPr>
        <w:tc>
          <w:tcPr>
            <w:tcW w:type="dxa" w:w="3216"/>
            <w:vAlign w:val="top"/>
            <w:tcW w:type="dxa" w:w="3080"/>
          </w:tcPr>
          <w:p>
            <w:pPr>
              <w:spacing w:before="20" w:after="40"/>
            </w:pPr>
            <w:r>
              <w:rPr>
                <w:rFonts w:ascii="Times New Roman" w:hAnsi="Times New Roman"/>
                <w:sz w:val="19"/>
              </w:rPr>
              <w:t>Physical observation</w:t>
            </w:r>
          </w:p>
        </w:tc>
        <w:tc>
          <w:tcPr>
            <w:tcW w:type="dxa" w:w="3216"/>
            <w:vAlign w:val="top"/>
            <w:tcW w:type="dxa" w:w="3080"/>
          </w:tcPr>
          <w:p>
            <w:pPr>
              <w:spacing w:before="20" w:after="40"/>
            </w:pPr>
            <w:r>
              <w:rPr>
                <w:rFonts w:ascii="Times New Roman" w:hAnsi="Times New Roman"/>
                <w:sz w:val="19"/>
              </w:rPr>
              <w:t>Another person or external camera may observe PIN entry</w:t>
            </w:r>
          </w:p>
        </w:tc>
        <w:tc>
          <w:tcPr>
            <w:tcW w:type="dxa" w:w="3216"/>
            <w:vAlign w:val="top"/>
            <w:tcW w:type="dxa" w:w="3080"/>
          </w:tcPr>
          <w:p>
            <w:pPr>
              <w:spacing w:before="20" w:after="40"/>
            </w:pPr>
            <w:r>
              <w:rPr>
                <w:rFonts w:ascii="Times New Roman" w:hAnsi="Times New Roman"/>
                <w:sz w:val="19"/>
              </w:rPr>
              <w:t>Mask entry and minimize exposure; do not claim complete shoulder-surfing prevention</w:t>
            </w:r>
          </w:p>
        </w:tc>
      </w:tr>
      <w:tr>
        <w:trPr>
          <w:cantSplit/>
        </w:trPr>
        <w:tc>
          <w:tcPr>
            <w:tcW w:type="dxa" w:w="3216"/>
            <w:vAlign w:val="top"/>
            <w:tcW w:type="dxa" w:w="3080"/>
          </w:tcPr>
          <w:p>
            <w:pPr>
              <w:spacing w:before="20" w:after="40"/>
            </w:pPr>
            <w:r>
              <w:rPr>
                <w:rFonts w:ascii="Times New Roman" w:hAnsi="Times New Roman"/>
                <w:sz w:val="19"/>
              </w:rPr>
              <w:t>Platform biometric accuracy</w:t>
            </w:r>
          </w:p>
        </w:tc>
        <w:tc>
          <w:tcPr>
            <w:tcW w:type="dxa" w:w="3216"/>
            <w:vAlign w:val="top"/>
            <w:tcW w:type="dxa" w:w="3080"/>
          </w:tcPr>
          <w:p>
            <w:pPr>
              <w:spacing w:before="20" w:after="40"/>
            </w:pPr>
            <w:r>
              <w:rPr>
                <w:rFonts w:ascii="Times New Roman" w:hAnsi="Times New Roman"/>
                <w:sz w:val="19"/>
              </w:rPr>
              <w:t>Match accuracy and enrollment protection are controlled by Android and device hardware</w:t>
            </w:r>
          </w:p>
        </w:tc>
        <w:tc>
          <w:tcPr>
            <w:tcW w:type="dxa" w:w="3216"/>
            <w:vAlign w:val="top"/>
            <w:tcW w:type="dxa" w:w="3080"/>
          </w:tcPr>
          <w:p>
            <w:pPr>
              <w:spacing w:before="20" w:after="40"/>
            </w:pPr>
            <w:r>
              <w:rPr>
                <w:rFonts w:ascii="Times New Roman" w:hAnsi="Times New Roman"/>
                <w:sz w:val="19"/>
              </w:rPr>
              <w:t>Accept only platform-approved eligibility and preserve PIN fallback</w:t>
            </w:r>
          </w:p>
        </w:tc>
      </w:tr>
      <w:tr>
        <w:trPr>
          <w:cantSplit/>
        </w:trPr>
        <w:tc>
          <w:tcPr>
            <w:tcW w:type="dxa" w:w="3216"/>
            <w:vAlign w:val="top"/>
            <w:tcW w:type="dxa" w:w="3080"/>
          </w:tcPr>
          <w:p>
            <w:pPr>
              <w:spacing w:before="20" w:after="40"/>
            </w:pPr>
            <w:r>
              <w:rPr>
                <w:rFonts w:ascii="Times New Roman" w:hAnsi="Times New Roman"/>
                <w:sz w:val="19"/>
              </w:rPr>
              <w:t>Phone manufacturer variation</w:t>
            </w:r>
          </w:p>
        </w:tc>
        <w:tc>
          <w:tcPr>
            <w:tcW w:type="dxa" w:w="3216"/>
            <w:vAlign w:val="top"/>
            <w:tcW w:type="dxa" w:w="3080"/>
          </w:tcPr>
          <w:p>
            <w:pPr>
              <w:spacing w:before="20" w:after="40"/>
            </w:pPr>
            <w:r>
              <w:rPr>
                <w:rFonts w:ascii="Times New Roman" w:hAnsi="Times New Roman"/>
                <w:sz w:val="19"/>
              </w:rPr>
              <w:t>Detection, notification, permission, and background behavior may vary</w:t>
            </w:r>
          </w:p>
        </w:tc>
        <w:tc>
          <w:tcPr>
            <w:tcW w:type="dxa" w:w="3216"/>
            <w:vAlign w:val="top"/>
            <w:tcW w:type="dxa" w:w="3080"/>
          </w:tcPr>
          <w:p>
            <w:pPr>
              <w:spacing w:before="20" w:after="40"/>
            </w:pPr>
            <w:r>
              <w:rPr>
                <w:rFonts w:ascii="Times New Roman" w:hAnsi="Times New Roman"/>
                <w:sz w:val="19"/>
              </w:rPr>
              <w:t>Limit claims to the declared supported range and available compatibility evidence</w:t>
            </w:r>
          </w:p>
        </w:tc>
      </w:tr>
      <w:tr>
        <w:trPr>
          <w:cantSplit/>
        </w:trPr>
        <w:tc>
          <w:tcPr>
            <w:tcW w:type="dxa" w:w="3216"/>
            <w:vAlign w:val="top"/>
            <w:tcW w:type="dxa" w:w="3080"/>
          </w:tcPr>
          <w:p>
            <w:pPr>
              <w:spacing w:before="20" w:after="40"/>
            </w:pPr>
            <w:r>
              <w:rPr>
                <w:rFonts w:ascii="Times New Roman" w:hAnsi="Times New Roman"/>
                <w:sz w:val="19"/>
              </w:rPr>
              <w:t>Unsupported device or profile class</w:t>
            </w:r>
          </w:p>
        </w:tc>
        <w:tc>
          <w:tcPr>
            <w:tcW w:type="dxa" w:w="3216"/>
            <w:vAlign w:val="top"/>
            <w:tcW w:type="dxa" w:w="3080"/>
          </w:tcPr>
          <w:p>
            <w:pPr>
              <w:spacing w:before="20" w:after="40"/>
            </w:pPr>
            <w:r>
              <w:rPr>
                <w:rFonts w:ascii="Times New Roman" w:hAnsi="Times New Roman"/>
                <w:sz w:val="19"/>
              </w:rPr>
              <w:t>Protection has not been specified or verified for the excluded environment</w:t>
            </w:r>
          </w:p>
        </w:tc>
        <w:tc>
          <w:tcPr>
            <w:tcW w:type="dxa" w:w="3216"/>
            <w:vAlign w:val="top"/>
            <w:tcW w:type="dxa" w:w="3080"/>
          </w:tcPr>
          <w:p>
            <w:pPr>
              <w:spacing w:before="20" w:after="40"/>
            </w:pPr>
            <w:r>
              <w:rPr>
                <w:rFonts w:ascii="Times New Roman" w:hAnsi="Times New Roman"/>
                <w:sz w:val="19"/>
              </w:rPr>
              <w:t>Do not imply support or provide partial claims</w:t>
            </w:r>
          </w:p>
        </w:tc>
      </w:tr>
    </w:tbl>
    <w:p>
      <w:pPr>
        <w:pStyle w:val="Heading2"/>
        <w:jc w:val="left"/>
      </w:pPr>
      <w:r>
        <w:t>7.3 Risk Conclusions</w:t>
      </w:r>
    </w:p>
    <w:p>
      <w:pPr>
        <w:jc w:val="left"/>
      </w:pPr>
      <w:r>
        <w:t>The highest residual risks are enforcement interruption caused by force-stop, permission removal, manufacturer restrictions, startup timing, or Android presentation limits. The application shall reduce these risks through conservative session handling, per-transition evaluation, health checking, accurate status, and recovery guidance. Those measures do not convert Android-controlled limitations into guaranteed prevention.</w:t>
      </w:r>
    </w:p>
    <w:p>
      <w:pPr>
        <w:jc w:val="left"/>
      </w:pPr>
      <w:r>
        <w:t>The highest confidentiality boundary is Android Keystore and the application sandbox. Loss of either boundary may expose local security information. Version 1.0.0 does not add root detection, anti-tamper services, remote revocation, or backup recovery to address conditions outside the stated phone security model.</w:t>
      </w:r>
    </w:p>
    <w:p>
      <w:pPr>
        <w:jc w:val="left"/>
      </w:pPr>
      <w:r>
        <w:t>The destructive forgotten-PIN path accepts loss of local App Lock configuration in exchange for avoiding a recovery secret, account system, backup path, or weak credential bypass. It shall never be counted as successful authentication.</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Model</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