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UI/UX Specification</w:t>
      </w:r>
    </w:p>
    <w:p>
      <w:pPr>
        <w:pStyle w:val="Subtitle"/>
        <w:jc w:val="left"/>
      </w:pPr>
      <w:r>
        <w:t>Version 1.0.0</w:t>
      </w:r>
    </w:p>
    <w:p>
      <w:pPr>
        <w:pStyle w:val="Heading1"/>
        <w:jc w:val="left"/>
      </w:pPr>
      <w:r>
        <w:t>Appendix A — Screen Inventory</w:t>
      </w:r>
    </w:p>
    <w:p>
      <w:pPr>
        <w:jc w:val="left"/>
      </w:pPr>
      <w:r>
        <w:t>The controlled Version 1.0.0 inventory is the set listed in Section 13. SCR-009, SCR-024–025, SCR-030–045, SCR-057, and SCR-060–062 are not included. Their identifiers shall not be reassigned to different screens.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