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Appendix F — Traceability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198"/>
        <w:gridCol w:w="2843"/>
        <w:gridCol w:w="3199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19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Experience area</w:t>
            </w:r>
          </w:p>
        </w:tc>
        <w:tc>
          <w:tcPr>
            <w:tcW w:type="dxa" w:w="3216"/>
            <w:vAlign w:val="center"/>
            <w:shd w:fill="D9E1F2"/>
            <w:tcW w:type="dxa" w:w="2843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Primary functional requirements</w:t>
            </w:r>
          </w:p>
        </w:tc>
        <w:tc>
          <w:tcPr>
            <w:tcW w:type="dxa" w:w="3216"/>
            <w:vAlign w:val="center"/>
            <w:shd w:fill="D9E1F2"/>
            <w:tcW w:type="dxa" w:w="319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Primary quality areas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19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Setup and PIN</w:t>
            </w:r>
          </w:p>
        </w:tc>
        <w:tc>
          <w:tcPr>
            <w:tcW w:type="dxa" w:w="3216"/>
            <w:vAlign w:val="top"/>
            <w:tcW w:type="dxa" w:w="284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FR-001–003, FR-011–012, FR-156–158</w:t>
            </w:r>
          </w:p>
        </w:tc>
        <w:tc>
          <w:tcPr>
            <w:tcW w:type="dxa" w:w="3216"/>
            <w:vAlign w:val="top"/>
            <w:tcW w:type="dxa" w:w="319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Security, usability, accessibility, privacy.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19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unlock</w:t>
            </w:r>
          </w:p>
        </w:tc>
        <w:tc>
          <w:tcPr>
            <w:tcW w:type="dxa" w:w="3216"/>
            <w:vAlign w:val="top"/>
            <w:tcW w:type="dxa" w:w="284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FR-007–010, FR-017–018, FR-026–055</w:t>
            </w:r>
          </w:p>
        </w:tc>
        <w:tc>
          <w:tcPr>
            <w:tcW w:type="dxa" w:w="3216"/>
            <w:vAlign w:val="top"/>
            <w:tcW w:type="dxa" w:w="319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Security, performance, reliability.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19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App management</w:t>
            </w:r>
          </w:p>
        </w:tc>
        <w:tc>
          <w:tcPr>
            <w:tcW w:type="dxa" w:w="3216"/>
            <w:vAlign w:val="top"/>
            <w:tcW w:type="dxa" w:w="284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FR-056–057, FR-060, FR-072–073, FR-078</w:t>
            </w:r>
          </w:p>
        </w:tc>
        <w:tc>
          <w:tcPr>
            <w:tcW w:type="dxa" w:w="3216"/>
            <w:vAlign w:val="top"/>
            <w:tcW w:type="dxa" w:w="319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Usability, performance, compatibility.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19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Privacy and notifications</w:t>
            </w:r>
          </w:p>
        </w:tc>
        <w:tc>
          <w:tcPr>
            <w:tcW w:type="dxa" w:w="3216"/>
            <w:vAlign w:val="top"/>
            <w:tcW w:type="dxa" w:w="284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FR-095–096, FR-099–100, FR-105, FR-146, FR-155</w:t>
            </w:r>
          </w:p>
        </w:tc>
        <w:tc>
          <w:tcPr>
            <w:tcW w:type="dxa" w:w="3216"/>
            <w:vAlign w:val="top"/>
            <w:tcW w:type="dxa" w:w="319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Privacy, accessibility, Android compatibility.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19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Settings and reset</w:t>
            </w:r>
          </w:p>
        </w:tc>
        <w:tc>
          <w:tcPr>
            <w:tcW w:type="dxa" w:w="3216"/>
            <w:vAlign w:val="top"/>
            <w:tcW w:type="dxa" w:w="284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FR-181–184, FR-192, FR-194–195</w:t>
            </w:r>
          </w:p>
        </w:tc>
        <w:tc>
          <w:tcPr>
            <w:tcW w:type="dxa" w:w="3216"/>
            <w:vAlign w:val="top"/>
            <w:tcW w:type="dxa" w:w="319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Security, integrity, usability.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19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Health and diagnostics</w:t>
            </w:r>
          </w:p>
        </w:tc>
        <w:tc>
          <w:tcPr>
            <w:tcW w:type="dxa" w:w="3216"/>
            <w:vAlign w:val="top"/>
            <w:tcW w:type="dxa" w:w="284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FR-216–219, FR-221</w:t>
            </w:r>
          </w:p>
        </w:tc>
        <w:tc>
          <w:tcPr>
            <w:tcW w:type="dxa" w:w="3216"/>
            <w:vAlign w:val="top"/>
            <w:tcW w:type="dxa" w:w="319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Reliability, observability, privacy.</w:t>
            </w:r>
          </w:p>
        </w:tc>
      </w:tr>
    </w:tbl>
    <w:p>
      <w:pPr>
        <w:jc w:val="left"/>
      </w:pPr>
      <w:r>
        <w:t>Only retained or narrowed Version 1.0.0 requirements are represented. A range in this summary does not reactivate an excluded identifier; the Software Requirements Specification remains authoritative for individual disposition.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