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16. Dialogs, Notifications, System Handoffs, and Transitions</w:t>
      </w:r>
    </w:p>
    <w:p>
      <w:pPr>
        <w:pStyle w:val="Heading3"/>
        <w:jc w:val="left"/>
      </w:pPr>
      <w:r>
        <w:t>16.1 Dialog Catalog</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208"/>
        <w:gridCol w:w="2274"/>
        <w:gridCol w:w="3909"/>
        <w:gridCol w:w="1849"/>
      </w:tblGrid>
      <w:tr>
        <w:trPr>
          <w:tblHeader w:val="true"/>
        </w:trPr>
        <w:tc>
          <w:tcPr>
            <w:tcW w:type="dxa" w:w="2412"/>
            <w:vAlign w:val="center"/>
            <w:shd w:fill="D9E1F2"/>
            <w:tcW w:type="dxa" w:w="1208"/>
          </w:tcPr>
          <w:p>
            <w:pPr>
              <w:spacing w:after="40"/>
            </w:pPr>
            <w:r>
              <w:rPr>
                <w:rFonts w:ascii="Times New Roman" w:hAnsi="Times New Roman"/>
                <w:b/>
                <w:sz w:val="19"/>
              </w:rPr>
              <w:t>ID</w:t>
            </w:r>
          </w:p>
        </w:tc>
        <w:tc>
          <w:tcPr>
            <w:tcW w:type="dxa" w:w="2412"/>
            <w:vAlign w:val="center"/>
            <w:shd w:fill="D9E1F2"/>
            <w:tcW w:type="dxa" w:w="2274"/>
          </w:tcPr>
          <w:p>
            <w:pPr>
              <w:spacing w:after="40"/>
            </w:pPr>
            <w:r>
              <w:rPr>
                <w:rFonts w:ascii="Times New Roman" w:hAnsi="Times New Roman"/>
                <w:b/>
                <w:sz w:val="19"/>
              </w:rPr>
              <w:t>Headline</w:t>
            </w:r>
          </w:p>
        </w:tc>
        <w:tc>
          <w:tcPr>
            <w:tcW w:type="dxa" w:w="2412"/>
            <w:vAlign w:val="center"/>
            <w:shd w:fill="D9E1F2"/>
            <w:tcW w:type="dxa" w:w="3909"/>
          </w:tcPr>
          <w:p>
            <w:pPr>
              <w:spacing w:after="40"/>
            </w:pPr>
            <w:r>
              <w:rPr>
                <w:rFonts w:ascii="Times New Roman" w:hAnsi="Times New Roman"/>
                <w:b/>
                <w:sz w:val="19"/>
              </w:rPr>
              <w:t>Required consequence</w:t>
            </w:r>
          </w:p>
        </w:tc>
        <w:tc>
          <w:tcPr>
            <w:tcW w:type="dxa" w:w="2412"/>
            <w:vAlign w:val="center"/>
            <w:shd w:fill="D9E1F2"/>
            <w:tcW w:type="dxa" w:w="1849"/>
          </w:tcPr>
          <w:p>
            <w:pPr>
              <w:spacing w:after="40"/>
            </w:pPr>
            <w:r>
              <w:rPr>
                <w:rFonts w:ascii="Times New Roman" w:hAnsi="Times New Roman"/>
                <w:b/>
                <w:sz w:val="19"/>
              </w:rPr>
              <w:t>Actions</w:t>
            </w:r>
          </w:p>
        </w:tc>
      </w:tr>
      <w:tr>
        <w:trPr>
          <w:cantSplit/>
        </w:trPr>
        <w:tc>
          <w:tcPr>
            <w:tcW w:type="dxa" w:w="2412"/>
            <w:vAlign w:val="top"/>
            <w:tcW w:type="dxa" w:w="1208"/>
          </w:tcPr>
          <w:p>
            <w:pPr>
              <w:spacing w:before="20" w:after="40"/>
            </w:pPr>
            <w:r>
              <w:rPr>
                <w:rFonts w:ascii="Times New Roman" w:hAnsi="Times New Roman"/>
                <w:sz w:val="19"/>
              </w:rPr>
              <w:t>DLG-001</w:t>
            </w:r>
          </w:p>
        </w:tc>
        <w:tc>
          <w:tcPr>
            <w:tcW w:type="dxa" w:w="2412"/>
            <w:vAlign w:val="top"/>
            <w:tcW w:type="dxa" w:w="2274"/>
          </w:tcPr>
          <w:p>
            <w:pPr>
              <w:spacing w:before="20" w:after="40"/>
            </w:pPr>
            <w:r>
              <w:rPr>
                <w:rFonts w:ascii="Times New Roman" w:hAnsi="Times New Roman"/>
                <w:sz w:val="19"/>
              </w:rPr>
              <w:t>Remove protection from {app}?</w:t>
            </w:r>
          </w:p>
        </w:tc>
        <w:tc>
          <w:tcPr>
            <w:tcW w:type="dxa" w:w="2412"/>
            <w:vAlign w:val="top"/>
            <w:tcW w:type="dxa" w:w="3909"/>
          </w:tcPr>
          <w:p>
            <w:pPr>
              <w:spacing w:before="20" w:after="40"/>
            </w:pPr>
            <w:r>
              <w:rPr>
                <w:rFonts w:ascii="Times New Roman" w:hAnsi="Times New Roman"/>
                <w:sz w:val="19"/>
              </w:rPr>
              <w:t>The named app will open without App Lock authentication.</w:t>
            </w:r>
          </w:p>
        </w:tc>
        <w:tc>
          <w:tcPr>
            <w:tcW w:type="dxa" w:w="2412"/>
            <w:vAlign w:val="top"/>
            <w:tcW w:type="dxa" w:w="1849"/>
          </w:tcPr>
          <w:p>
            <w:pPr>
              <w:spacing w:before="20" w:after="40"/>
            </w:pPr>
            <w:r>
              <w:rPr>
                <w:rFonts w:ascii="Times New Roman" w:hAnsi="Times New Roman"/>
                <w:sz w:val="19"/>
              </w:rPr>
              <w:t>Remove protection; Cancel.</w:t>
            </w:r>
          </w:p>
        </w:tc>
      </w:tr>
      <w:tr>
        <w:trPr>
          <w:cantSplit/>
        </w:trPr>
        <w:tc>
          <w:tcPr>
            <w:tcW w:type="dxa" w:w="2412"/>
            <w:vAlign w:val="top"/>
            <w:tcW w:type="dxa" w:w="1208"/>
          </w:tcPr>
          <w:p>
            <w:pPr>
              <w:spacing w:before="20" w:after="40"/>
            </w:pPr>
            <w:r>
              <w:rPr>
                <w:rFonts w:ascii="Times New Roman" w:hAnsi="Times New Roman"/>
                <w:sz w:val="19"/>
              </w:rPr>
              <w:t>DLG-006</w:t>
            </w:r>
          </w:p>
        </w:tc>
        <w:tc>
          <w:tcPr>
            <w:tcW w:type="dxa" w:w="2412"/>
            <w:vAlign w:val="top"/>
            <w:tcW w:type="dxa" w:w="2274"/>
          </w:tcPr>
          <w:p>
            <w:pPr>
              <w:spacing w:before="20" w:after="40"/>
            </w:pPr>
            <w:r>
              <w:rPr>
                <w:rFonts w:ascii="Times New Roman" w:hAnsi="Times New Roman"/>
                <w:sz w:val="19"/>
              </w:rPr>
              <w:t>Reset App Lock completely?</w:t>
            </w:r>
          </w:p>
        </w:tc>
        <w:tc>
          <w:tcPr>
            <w:tcW w:type="dxa" w:w="2412"/>
            <w:vAlign w:val="top"/>
            <w:tcW w:type="dxa" w:w="3909"/>
          </w:tcPr>
          <w:p>
            <w:pPr>
              <w:spacing w:before="20" w:after="40"/>
            </w:pPr>
            <w:r>
              <w:rPr>
                <w:rFonts w:ascii="Times New Roman" w:hAnsi="Times New Roman"/>
                <w:sz w:val="19"/>
              </w:rPr>
              <w:t>PIN, protected-app selections, settings, sessions, and local diagnostics are permanently removed; protected-app data is not removed.</w:t>
            </w:r>
          </w:p>
        </w:tc>
        <w:tc>
          <w:tcPr>
            <w:tcW w:type="dxa" w:w="2412"/>
            <w:vAlign w:val="top"/>
            <w:tcW w:type="dxa" w:w="1849"/>
          </w:tcPr>
          <w:p>
            <w:pPr>
              <w:spacing w:before="20" w:after="40"/>
            </w:pPr>
            <w:r>
              <w:rPr>
                <w:rFonts w:ascii="Times New Roman" w:hAnsi="Times New Roman"/>
                <w:sz w:val="19"/>
              </w:rPr>
              <w:t>Reset App Lock completely; Cancel.</w:t>
            </w:r>
          </w:p>
        </w:tc>
      </w:tr>
      <w:tr>
        <w:trPr>
          <w:cantSplit/>
        </w:trPr>
        <w:tc>
          <w:tcPr>
            <w:tcW w:type="dxa" w:w="2412"/>
            <w:vAlign w:val="top"/>
            <w:tcW w:type="dxa" w:w="1208"/>
          </w:tcPr>
          <w:p>
            <w:pPr>
              <w:spacing w:before="20" w:after="40"/>
            </w:pPr>
            <w:r>
              <w:rPr>
                <w:rFonts w:ascii="Times New Roman" w:hAnsi="Times New Roman"/>
                <w:sz w:val="19"/>
              </w:rPr>
              <w:t>DLG-007</w:t>
            </w:r>
          </w:p>
        </w:tc>
        <w:tc>
          <w:tcPr>
            <w:tcW w:type="dxa" w:w="2412"/>
            <w:vAlign w:val="top"/>
            <w:tcW w:type="dxa" w:w="2274"/>
          </w:tcPr>
          <w:p>
            <w:pPr>
              <w:spacing w:before="20" w:after="40"/>
            </w:pPr>
            <w:r>
              <w:rPr>
                <w:rFonts w:ascii="Times New Roman" w:hAnsi="Times New Roman"/>
                <w:sz w:val="19"/>
              </w:rPr>
              <w:t>End active sessions?</w:t>
            </w:r>
          </w:p>
        </w:tc>
        <w:tc>
          <w:tcPr>
            <w:tcW w:type="dxa" w:w="2412"/>
            <w:vAlign w:val="top"/>
            <w:tcW w:type="dxa" w:w="3909"/>
          </w:tcPr>
          <w:p>
            <w:pPr>
              <w:spacing w:before="20" w:after="40"/>
            </w:pPr>
            <w:r>
              <w:rPr>
                <w:rFonts w:ascii="Times New Roman" w:hAnsi="Times New Roman"/>
                <w:sz w:val="19"/>
              </w:rPr>
              <w:t>App Lock and every protected app will require authentication again.</w:t>
            </w:r>
          </w:p>
        </w:tc>
        <w:tc>
          <w:tcPr>
            <w:tcW w:type="dxa" w:w="2412"/>
            <w:vAlign w:val="top"/>
            <w:tcW w:type="dxa" w:w="1849"/>
          </w:tcPr>
          <w:p>
            <w:pPr>
              <w:spacing w:before="20" w:after="40"/>
            </w:pPr>
            <w:r>
              <w:rPr>
                <w:rFonts w:ascii="Times New Roman" w:hAnsi="Times New Roman"/>
                <w:sz w:val="19"/>
              </w:rPr>
              <w:t>End sessions; Cancel.</w:t>
            </w:r>
          </w:p>
        </w:tc>
      </w:tr>
      <w:tr>
        <w:trPr>
          <w:cantSplit/>
        </w:trPr>
        <w:tc>
          <w:tcPr>
            <w:tcW w:type="dxa" w:w="2412"/>
            <w:vAlign w:val="top"/>
            <w:tcW w:type="dxa" w:w="1208"/>
          </w:tcPr>
          <w:p>
            <w:pPr>
              <w:spacing w:before="20" w:after="40"/>
            </w:pPr>
            <w:r>
              <w:rPr>
                <w:rFonts w:ascii="Times New Roman" w:hAnsi="Times New Roman"/>
                <w:sz w:val="19"/>
              </w:rPr>
              <w:t>DLG-008</w:t>
            </w:r>
          </w:p>
        </w:tc>
        <w:tc>
          <w:tcPr>
            <w:tcW w:type="dxa" w:w="2412"/>
            <w:vAlign w:val="top"/>
            <w:tcW w:type="dxa" w:w="2274"/>
          </w:tcPr>
          <w:p>
            <w:pPr>
              <w:spacing w:before="20" w:after="40"/>
            </w:pPr>
            <w:r>
              <w:rPr>
                <w:rFonts w:ascii="Times New Roman" w:hAnsi="Times New Roman"/>
                <w:sz w:val="19"/>
              </w:rPr>
              <w:t>Reset preferences?</w:t>
            </w:r>
          </w:p>
        </w:tc>
        <w:tc>
          <w:tcPr>
            <w:tcW w:type="dxa" w:w="2412"/>
            <w:vAlign w:val="top"/>
            <w:tcW w:type="dxa" w:w="3909"/>
          </w:tcPr>
          <w:p>
            <w:pPr>
              <w:spacing w:before="20" w:after="40"/>
            </w:pPr>
            <w:r>
              <w:rPr>
                <w:rFonts w:ascii="Times New Roman" w:hAnsi="Times New Roman"/>
                <w:sz w:val="19"/>
              </w:rPr>
              <w:t>Name the non-security display and notification preferences restored; retain PIN and protected-app choices.</w:t>
            </w:r>
          </w:p>
        </w:tc>
        <w:tc>
          <w:tcPr>
            <w:tcW w:type="dxa" w:w="2412"/>
            <w:vAlign w:val="top"/>
            <w:tcW w:type="dxa" w:w="1849"/>
          </w:tcPr>
          <w:p>
            <w:pPr>
              <w:spacing w:before="20" w:after="40"/>
            </w:pPr>
            <w:r>
              <w:rPr>
                <w:rFonts w:ascii="Times New Roman" w:hAnsi="Times New Roman"/>
                <w:sz w:val="19"/>
              </w:rPr>
              <w:t>Reset preferences; Cancel.</w:t>
            </w:r>
          </w:p>
        </w:tc>
      </w:tr>
      <w:tr>
        <w:trPr>
          <w:cantSplit/>
        </w:trPr>
        <w:tc>
          <w:tcPr>
            <w:tcW w:type="dxa" w:w="2412"/>
            <w:vAlign w:val="top"/>
            <w:tcW w:type="dxa" w:w="1208"/>
          </w:tcPr>
          <w:p>
            <w:pPr>
              <w:spacing w:before="20" w:after="40"/>
            </w:pPr>
            <w:r>
              <w:rPr>
                <w:rFonts w:ascii="Times New Roman" w:hAnsi="Times New Roman"/>
                <w:sz w:val="19"/>
              </w:rPr>
              <w:t>DLG-009</w:t>
            </w:r>
          </w:p>
        </w:tc>
        <w:tc>
          <w:tcPr>
            <w:tcW w:type="dxa" w:w="2412"/>
            <w:vAlign w:val="top"/>
            <w:tcW w:type="dxa" w:w="2274"/>
          </w:tcPr>
          <w:p>
            <w:pPr>
              <w:spacing w:before="20" w:after="40"/>
            </w:pPr>
            <w:r>
              <w:rPr>
                <w:rFonts w:ascii="Times New Roman" w:hAnsi="Times New Roman"/>
                <w:sz w:val="19"/>
              </w:rPr>
              <w:t>Remove protection from all apps?</w:t>
            </w:r>
          </w:p>
        </w:tc>
        <w:tc>
          <w:tcPr>
            <w:tcW w:type="dxa" w:w="2412"/>
            <w:vAlign w:val="top"/>
            <w:tcW w:type="dxa" w:w="3909"/>
          </w:tcPr>
          <w:p>
            <w:pPr>
              <w:spacing w:before="20" w:after="40"/>
            </w:pPr>
            <w:r>
              <w:rPr>
                <w:rFonts w:ascii="Times New Roman" w:hAnsi="Times New Roman"/>
                <w:sz w:val="19"/>
              </w:rPr>
              <w:t>State the reconciled count and that every listed app will open without App Lock authentication.</w:t>
            </w:r>
          </w:p>
        </w:tc>
        <w:tc>
          <w:tcPr>
            <w:tcW w:type="dxa" w:w="2412"/>
            <w:vAlign w:val="top"/>
            <w:tcW w:type="dxa" w:w="1849"/>
          </w:tcPr>
          <w:p>
            <w:pPr>
              <w:spacing w:before="20" w:after="40"/>
            </w:pPr>
            <w:r>
              <w:rPr>
                <w:rFonts w:ascii="Times New Roman" w:hAnsi="Times New Roman"/>
                <w:sz w:val="19"/>
              </w:rPr>
              <w:t>Remove all protection; Cancel.</w:t>
            </w:r>
          </w:p>
        </w:tc>
      </w:tr>
    </w:tbl>
    <w:p>
      <w:pPr>
        <w:jc w:val="left"/>
      </w:pPr>
      <w:r>
        <w:t>Destructive confirmation requires an explicit button; outside tap shall not confirm. Scope shall be revalidated immediately before execution.</w:t>
      </w:r>
    </w:p>
    <w:p>
      <w:pPr>
        <w:pStyle w:val="Heading3"/>
        <w:jc w:val="left"/>
      </w:pPr>
      <w:r>
        <w:t>16.2 Notification Catalog</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279"/>
        <w:gridCol w:w="2203"/>
        <w:gridCol w:w="3625"/>
        <w:gridCol w:w="2133"/>
      </w:tblGrid>
      <w:tr>
        <w:trPr>
          <w:tblHeader w:val="true"/>
        </w:trPr>
        <w:tc>
          <w:tcPr>
            <w:tcW w:type="dxa" w:w="2412"/>
            <w:vAlign w:val="center"/>
            <w:shd w:fill="D9E1F2"/>
            <w:tcW w:type="dxa" w:w="1279"/>
          </w:tcPr>
          <w:p>
            <w:pPr>
              <w:spacing w:after="40"/>
            </w:pPr>
            <w:r>
              <w:rPr>
                <w:rFonts w:ascii="Times New Roman" w:hAnsi="Times New Roman"/>
                <w:b/>
                <w:sz w:val="19"/>
              </w:rPr>
              <w:t>ID</w:t>
            </w:r>
          </w:p>
        </w:tc>
        <w:tc>
          <w:tcPr>
            <w:tcW w:type="dxa" w:w="2412"/>
            <w:vAlign w:val="center"/>
            <w:shd w:fill="D9E1F2"/>
            <w:tcW w:type="dxa" w:w="2203"/>
          </w:tcPr>
          <w:p>
            <w:pPr>
              <w:spacing w:after="40"/>
            </w:pPr>
            <w:r>
              <w:rPr>
                <w:rFonts w:ascii="Times New Roman" w:hAnsi="Times New Roman"/>
                <w:b/>
                <w:sz w:val="19"/>
              </w:rPr>
              <w:t>Private title</w:t>
            </w:r>
          </w:p>
        </w:tc>
        <w:tc>
          <w:tcPr>
            <w:tcW w:type="dxa" w:w="2412"/>
            <w:vAlign w:val="center"/>
            <w:shd w:fill="D9E1F2"/>
            <w:tcW w:type="dxa" w:w="3625"/>
          </w:tcPr>
          <w:p>
            <w:pPr>
              <w:spacing w:after="40"/>
            </w:pPr>
            <w:r>
              <w:rPr>
                <w:rFonts w:ascii="Times New Roman" w:hAnsi="Times New Roman"/>
                <w:b/>
                <w:sz w:val="19"/>
              </w:rPr>
              <w:t>Private body</w:t>
            </w:r>
          </w:p>
        </w:tc>
        <w:tc>
          <w:tcPr>
            <w:tcW w:type="dxa" w:w="2412"/>
            <w:vAlign w:val="center"/>
            <w:shd w:fill="D9E1F2"/>
            <w:tcW w:type="dxa" w:w="2133"/>
          </w:tcPr>
          <w:p>
            <w:pPr>
              <w:spacing w:after="40"/>
            </w:pPr>
            <w:r>
              <w:rPr>
                <w:rFonts w:ascii="Times New Roman" w:hAnsi="Times New Roman"/>
                <w:b/>
                <w:sz w:val="19"/>
              </w:rPr>
              <w:t>Entry</w:t>
            </w:r>
          </w:p>
        </w:tc>
      </w:tr>
      <w:tr>
        <w:trPr>
          <w:cantSplit/>
        </w:trPr>
        <w:tc>
          <w:tcPr>
            <w:tcW w:type="dxa" w:w="2412"/>
            <w:vAlign w:val="top"/>
            <w:tcW w:type="dxa" w:w="1279"/>
          </w:tcPr>
          <w:p>
            <w:pPr>
              <w:spacing w:before="20" w:after="40"/>
            </w:pPr>
            <w:r>
              <w:rPr>
                <w:rFonts w:ascii="Times New Roman" w:hAnsi="Times New Roman"/>
                <w:sz w:val="19"/>
              </w:rPr>
              <w:t>NTF-001</w:t>
            </w:r>
          </w:p>
        </w:tc>
        <w:tc>
          <w:tcPr>
            <w:tcW w:type="dxa" w:w="2412"/>
            <w:vAlign w:val="top"/>
            <w:tcW w:type="dxa" w:w="2203"/>
          </w:tcPr>
          <w:p>
            <w:pPr>
              <w:spacing w:before="20" w:after="40"/>
            </w:pPr>
            <w:r>
              <w:rPr>
                <w:rFonts w:ascii="Times New Roman" w:hAnsi="Times New Roman"/>
                <w:sz w:val="19"/>
              </w:rPr>
              <w:t>App Lock is active</w:t>
            </w:r>
          </w:p>
        </w:tc>
        <w:tc>
          <w:tcPr>
            <w:tcW w:type="dxa" w:w="2412"/>
            <w:vAlign w:val="top"/>
            <w:tcW w:type="dxa" w:w="3625"/>
          </w:tcPr>
          <w:p>
            <w:pPr>
              <w:spacing w:before="20" w:after="40"/>
            </w:pPr>
            <w:r>
              <w:rPr>
                <w:rFonts w:ascii="Times New Roman" w:hAnsi="Times New Roman"/>
                <w:sz w:val="19"/>
              </w:rPr>
              <w:t>Protection is running on this device.</w:t>
            </w:r>
          </w:p>
        </w:tc>
        <w:tc>
          <w:tcPr>
            <w:tcW w:type="dxa" w:w="2412"/>
            <w:vAlign w:val="top"/>
            <w:tcW w:type="dxa" w:w="2133"/>
          </w:tcPr>
          <w:p>
            <w:pPr>
              <w:spacing w:before="20" w:after="40"/>
            </w:pPr>
            <w:r>
              <w:rPr>
                <w:rFonts w:ascii="Times New Roman" w:hAnsi="Times New Roman"/>
                <w:sz w:val="19"/>
              </w:rPr>
              <w:t>Open Protection Health through authentication.</w:t>
            </w:r>
          </w:p>
        </w:tc>
      </w:tr>
      <w:tr>
        <w:trPr>
          <w:cantSplit/>
        </w:trPr>
        <w:tc>
          <w:tcPr>
            <w:tcW w:type="dxa" w:w="2412"/>
            <w:vAlign w:val="top"/>
            <w:tcW w:type="dxa" w:w="1279"/>
          </w:tcPr>
          <w:p>
            <w:pPr>
              <w:spacing w:before="20" w:after="40"/>
            </w:pPr>
            <w:r>
              <w:rPr>
                <w:rFonts w:ascii="Times New Roman" w:hAnsi="Times New Roman"/>
                <w:sz w:val="19"/>
              </w:rPr>
              <w:t>NTF-002</w:t>
            </w:r>
          </w:p>
        </w:tc>
        <w:tc>
          <w:tcPr>
            <w:tcW w:type="dxa" w:w="2412"/>
            <w:vAlign w:val="top"/>
            <w:tcW w:type="dxa" w:w="2203"/>
          </w:tcPr>
          <w:p>
            <w:pPr>
              <w:spacing w:before="20" w:after="40"/>
            </w:pPr>
            <w:r>
              <w:rPr>
                <w:rFonts w:ascii="Times New Roman" w:hAnsi="Times New Roman"/>
                <w:sz w:val="19"/>
              </w:rPr>
              <w:t>Protection interrupted</w:t>
            </w:r>
          </w:p>
        </w:tc>
        <w:tc>
          <w:tcPr>
            <w:tcW w:type="dxa" w:w="2412"/>
            <w:vAlign w:val="top"/>
            <w:tcW w:type="dxa" w:w="3625"/>
          </w:tcPr>
          <w:p>
            <w:pPr>
              <w:spacing w:before="20" w:after="40"/>
            </w:pPr>
            <w:r>
              <w:rPr>
                <w:rFonts w:ascii="Times New Roman" w:hAnsi="Times New Roman"/>
                <w:sz w:val="19"/>
              </w:rPr>
              <w:t>Open App Lock to restore or verify protection.</w:t>
            </w:r>
          </w:p>
        </w:tc>
        <w:tc>
          <w:tcPr>
            <w:tcW w:type="dxa" w:w="2412"/>
            <w:vAlign w:val="top"/>
            <w:tcW w:type="dxa" w:w="2133"/>
          </w:tcPr>
          <w:p>
            <w:pPr>
              <w:spacing w:before="20" w:after="40"/>
            </w:pPr>
            <w:r>
              <w:rPr>
                <w:rFonts w:ascii="Times New Roman" w:hAnsi="Times New Roman"/>
                <w:sz w:val="19"/>
              </w:rPr>
              <w:t>Open the current Health recovery route.</w:t>
            </w:r>
          </w:p>
        </w:tc>
      </w:tr>
      <w:tr>
        <w:trPr>
          <w:cantSplit/>
        </w:trPr>
        <w:tc>
          <w:tcPr>
            <w:tcW w:type="dxa" w:w="2412"/>
            <w:vAlign w:val="top"/>
            <w:tcW w:type="dxa" w:w="1279"/>
          </w:tcPr>
          <w:p>
            <w:pPr>
              <w:spacing w:before="20" w:after="40"/>
            </w:pPr>
            <w:r>
              <w:rPr>
                <w:rFonts w:ascii="Times New Roman" w:hAnsi="Times New Roman"/>
                <w:sz w:val="19"/>
              </w:rPr>
              <w:t>NTF-003</w:t>
            </w:r>
          </w:p>
        </w:tc>
        <w:tc>
          <w:tcPr>
            <w:tcW w:type="dxa" w:w="2412"/>
            <w:vAlign w:val="top"/>
            <w:tcW w:type="dxa" w:w="2203"/>
          </w:tcPr>
          <w:p>
            <w:pPr>
              <w:spacing w:before="20" w:after="40"/>
            </w:pPr>
            <w:r>
              <w:rPr>
                <w:rFonts w:ascii="Times New Roman" w:hAnsi="Times New Roman"/>
                <w:sz w:val="19"/>
              </w:rPr>
              <w:t>Action required</w:t>
            </w:r>
          </w:p>
        </w:tc>
        <w:tc>
          <w:tcPr>
            <w:tcW w:type="dxa" w:w="2412"/>
            <w:vAlign w:val="top"/>
            <w:tcW w:type="dxa" w:w="3625"/>
          </w:tcPr>
          <w:p>
            <w:pPr>
              <w:spacing w:before="20" w:after="40"/>
            </w:pPr>
            <w:r>
              <w:rPr>
                <w:rFonts w:ascii="Times New Roman" w:hAnsi="Times New Roman"/>
                <w:sz w:val="19"/>
              </w:rPr>
              <w:t>Open App Lock to review a protection setting.</w:t>
            </w:r>
          </w:p>
        </w:tc>
        <w:tc>
          <w:tcPr>
            <w:tcW w:type="dxa" w:w="2412"/>
            <w:vAlign w:val="top"/>
            <w:tcW w:type="dxa" w:w="2133"/>
          </w:tcPr>
          <w:p>
            <w:pPr>
              <w:spacing w:before="20" w:after="40"/>
            </w:pPr>
            <w:r>
              <w:rPr>
                <w:rFonts w:ascii="Times New Roman" w:hAnsi="Times New Roman"/>
                <w:sz w:val="19"/>
              </w:rPr>
              <w:t>Open the applicable authenticated row.</w:t>
            </w:r>
          </w:p>
        </w:tc>
      </w:tr>
    </w:tbl>
    <w:p>
      <w:pPr>
        <w:jc w:val="left"/>
      </w:pPr>
      <w:r>
        <w:t>Notifications shall omit protected-app names, PIN or biometric detail, technical identifiers, and raw diagnostic reasons. Dismissing a notification does not dismiss the durable in-app condition. A resolved or stale notification opens the safe parent and states that the condition changed.</w:t>
      </w:r>
    </w:p>
    <w:p>
      <w:pPr>
        <w:pStyle w:val="Heading3"/>
        <w:jc w:val="left"/>
      </w:pPr>
      <w:r>
        <w:t>16.3 Android Handoffs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279"/>
        <w:gridCol w:w="2346"/>
        <w:gridCol w:w="3198"/>
        <w:gridCol w:w="2417"/>
      </w:tblGrid>
      <w:tr>
        <w:trPr>
          <w:tblHeader w:val="true"/>
        </w:trPr>
        <w:tc>
          <w:tcPr>
            <w:tcW w:type="dxa" w:w="2412"/>
            <w:vAlign w:val="center"/>
            <w:shd w:fill="D9E1F2"/>
            <w:tcW w:type="dxa" w:w="1279"/>
          </w:tcPr>
          <w:p>
            <w:pPr>
              <w:spacing w:after="40"/>
            </w:pPr>
            <w:r>
              <w:rPr>
                <w:rFonts w:ascii="Times New Roman" w:hAnsi="Times New Roman"/>
                <w:b/>
                <w:sz w:val="19"/>
              </w:rPr>
              <w:t>ID</w:t>
            </w:r>
          </w:p>
        </w:tc>
        <w:tc>
          <w:tcPr>
            <w:tcW w:type="dxa" w:w="2412"/>
            <w:vAlign w:val="center"/>
            <w:shd w:fill="D9E1F2"/>
            <w:tcW w:type="dxa" w:w="2346"/>
          </w:tcPr>
          <w:p>
            <w:pPr>
              <w:spacing w:after="40"/>
            </w:pPr>
            <w:r>
              <w:rPr>
                <w:rFonts w:ascii="Times New Roman" w:hAnsi="Times New Roman"/>
                <w:b/>
                <w:sz w:val="19"/>
              </w:rPr>
              <w:t>Destination</w:t>
            </w:r>
          </w:p>
        </w:tc>
        <w:tc>
          <w:tcPr>
            <w:tcW w:type="dxa" w:w="2412"/>
            <w:vAlign w:val="center"/>
            <w:shd w:fill="D9E1F2"/>
            <w:tcW w:type="dxa" w:w="3198"/>
          </w:tcPr>
          <w:p>
            <w:pPr>
              <w:spacing w:after="40"/>
            </w:pPr>
            <w:r>
              <w:rPr>
                <w:rFonts w:ascii="Times New Roman" w:hAnsi="Times New Roman"/>
                <w:b/>
                <w:sz w:val="19"/>
              </w:rPr>
              <w:t>Before leaving</w:t>
            </w:r>
          </w:p>
        </w:tc>
        <w:tc>
          <w:tcPr>
            <w:tcW w:type="dxa" w:w="2412"/>
            <w:vAlign w:val="center"/>
            <w:shd w:fill="D9E1F2"/>
            <w:tcW w:type="dxa" w:w="2417"/>
          </w:tcPr>
          <w:p>
            <w:pPr>
              <w:spacing w:after="40"/>
            </w:pPr>
            <w:r>
              <w:rPr>
                <w:rFonts w:ascii="Times New Roman" w:hAnsi="Times New Roman"/>
                <w:b/>
                <w:sz w:val="19"/>
              </w:rPr>
              <w:t>On return</w:t>
            </w:r>
          </w:p>
        </w:tc>
      </w:tr>
      <w:tr>
        <w:trPr>
          <w:cantSplit/>
        </w:trPr>
        <w:tc>
          <w:tcPr>
            <w:tcW w:type="dxa" w:w="2412"/>
            <w:vAlign w:val="top"/>
            <w:tcW w:type="dxa" w:w="1279"/>
          </w:tcPr>
          <w:p>
            <w:pPr>
              <w:spacing w:before="20" w:after="40"/>
            </w:pPr>
            <w:r>
              <w:rPr>
                <w:rFonts w:ascii="Times New Roman" w:hAnsi="Times New Roman"/>
                <w:sz w:val="19"/>
              </w:rPr>
              <w:t>SYS-001</w:t>
            </w:r>
          </w:p>
        </w:tc>
        <w:tc>
          <w:tcPr>
            <w:tcW w:type="dxa" w:w="2412"/>
            <w:vAlign w:val="top"/>
            <w:tcW w:type="dxa" w:w="2346"/>
          </w:tcPr>
          <w:p>
            <w:pPr>
              <w:spacing w:before="20" w:after="40"/>
            </w:pPr>
            <w:r>
              <w:rPr>
                <w:rFonts w:ascii="Times New Roman" w:hAnsi="Times New Roman"/>
                <w:sz w:val="19"/>
              </w:rPr>
              <w:t>Usage Access</w:t>
            </w:r>
          </w:p>
        </w:tc>
        <w:tc>
          <w:tcPr>
            <w:tcW w:type="dxa" w:w="2412"/>
            <w:vAlign w:val="top"/>
            <w:tcW w:type="dxa" w:w="3198"/>
          </w:tcPr>
          <w:p>
            <w:pPr>
              <w:spacing w:before="20" w:after="40"/>
            </w:pPr>
            <w:r>
              <w:rPr>
                <w:rFonts w:ascii="Times New Roman" w:hAnsi="Times New Roman"/>
                <w:sz w:val="19"/>
              </w:rPr>
              <w:t>Explain purpose, required role, privacy boundary, Android-visible label, and denial consequence.</w:t>
            </w:r>
          </w:p>
        </w:tc>
        <w:tc>
          <w:tcPr>
            <w:tcW w:type="dxa" w:w="2412"/>
            <w:vAlign w:val="top"/>
            <w:tcW w:type="dxa" w:w="2417"/>
          </w:tcPr>
          <w:p>
            <w:pPr>
              <w:spacing w:before="20" w:after="40"/>
            </w:pPr>
            <w:r>
              <w:rPr>
                <w:rFonts w:ascii="Times New Roman" w:hAnsi="Times New Roman"/>
                <w:sz w:val="19"/>
              </w:rPr>
              <w:t>Recheck and return focus to the Usage Access row.</w:t>
            </w:r>
          </w:p>
        </w:tc>
      </w:tr>
      <w:tr>
        <w:trPr>
          <w:cantSplit/>
        </w:trPr>
        <w:tc>
          <w:tcPr>
            <w:tcW w:type="dxa" w:w="2412"/>
            <w:vAlign w:val="top"/>
            <w:tcW w:type="dxa" w:w="1279"/>
          </w:tcPr>
          <w:p>
            <w:pPr>
              <w:spacing w:before="20" w:after="40"/>
            </w:pPr>
            <w:r>
              <w:rPr>
                <w:rFonts w:ascii="Times New Roman" w:hAnsi="Times New Roman"/>
                <w:sz w:val="19"/>
              </w:rPr>
              <w:t>SYS-002</w:t>
            </w:r>
          </w:p>
        </w:tc>
        <w:tc>
          <w:tcPr>
            <w:tcW w:type="dxa" w:w="2412"/>
            <w:vAlign w:val="top"/>
            <w:tcW w:type="dxa" w:w="2346"/>
          </w:tcPr>
          <w:p>
            <w:pPr>
              <w:spacing w:before="20" w:after="40"/>
            </w:pPr>
            <w:r>
              <w:rPr>
                <w:rFonts w:ascii="Times New Roman" w:hAnsi="Times New Roman"/>
                <w:sz w:val="19"/>
              </w:rPr>
              <w:t>Lock-presentation setting</w:t>
            </w:r>
          </w:p>
        </w:tc>
        <w:tc>
          <w:tcPr>
            <w:tcW w:type="dxa" w:w="2412"/>
            <w:vAlign w:val="top"/>
            <w:tcW w:type="dxa" w:w="3198"/>
          </w:tcPr>
          <w:p>
            <w:pPr>
              <w:spacing w:before="20" w:after="40"/>
            </w:pPr>
            <w:r>
              <w:rPr>
                <w:rFonts w:ascii="Times New Roman" w:hAnsi="Times New Roman"/>
                <w:sz w:val="19"/>
              </w:rPr>
              <w:t>Explain the device-visible setting and that protection cannot be verified without it.</w:t>
            </w:r>
          </w:p>
        </w:tc>
        <w:tc>
          <w:tcPr>
            <w:tcW w:type="dxa" w:w="2412"/>
            <w:vAlign w:val="top"/>
            <w:tcW w:type="dxa" w:w="2417"/>
          </w:tcPr>
          <w:p>
            <w:pPr>
              <w:spacing w:before="20" w:after="40"/>
            </w:pPr>
            <w:r>
              <w:rPr>
                <w:rFonts w:ascii="Times New Roman" w:hAnsi="Times New Roman"/>
                <w:sz w:val="19"/>
              </w:rPr>
              <w:t>Verify the capability and supported presentation behavior.</w:t>
            </w:r>
          </w:p>
        </w:tc>
      </w:tr>
      <w:tr>
        <w:trPr>
          <w:cantSplit/>
        </w:trPr>
        <w:tc>
          <w:tcPr>
            <w:tcW w:type="dxa" w:w="2412"/>
            <w:vAlign w:val="top"/>
            <w:tcW w:type="dxa" w:w="1279"/>
          </w:tcPr>
          <w:p>
            <w:pPr>
              <w:spacing w:before="20" w:after="40"/>
            </w:pPr>
            <w:r>
              <w:rPr>
                <w:rFonts w:ascii="Times New Roman" w:hAnsi="Times New Roman"/>
                <w:sz w:val="19"/>
              </w:rPr>
              <w:t>SYS-004</w:t>
            </w:r>
          </w:p>
        </w:tc>
        <w:tc>
          <w:tcPr>
            <w:tcW w:type="dxa" w:w="2412"/>
            <w:vAlign w:val="top"/>
            <w:tcW w:type="dxa" w:w="2346"/>
          </w:tcPr>
          <w:p>
            <w:pPr>
              <w:spacing w:before="20" w:after="40"/>
            </w:pPr>
            <w:r>
              <w:rPr>
                <w:rFonts w:ascii="Times New Roman" w:hAnsi="Times New Roman"/>
                <w:sz w:val="19"/>
              </w:rPr>
              <w:t>Notification settings</w:t>
            </w:r>
          </w:p>
        </w:tc>
        <w:tc>
          <w:tcPr>
            <w:tcW w:type="dxa" w:w="2412"/>
            <w:vAlign w:val="top"/>
            <w:tcW w:type="dxa" w:w="3198"/>
          </w:tcPr>
          <w:p>
            <w:pPr>
              <w:spacing w:before="20" w:after="40"/>
            </w:pPr>
            <w:r>
              <w:rPr>
                <w:rFonts w:ascii="Times New Roman" w:hAnsi="Times New Roman"/>
                <w:sz w:val="19"/>
              </w:rPr>
              <w:t>Name the affected App Lock category and operational consequence.</w:t>
            </w:r>
          </w:p>
        </w:tc>
        <w:tc>
          <w:tcPr>
            <w:tcW w:type="dxa" w:w="2412"/>
            <w:vAlign w:val="top"/>
            <w:tcW w:type="dxa" w:w="2417"/>
          </w:tcPr>
          <w:p>
            <w:pPr>
              <w:spacing w:before="20" w:after="40"/>
            </w:pPr>
            <w:r>
              <w:rPr>
                <w:rFonts w:ascii="Times New Roman" w:hAnsi="Times New Roman"/>
                <w:sz w:val="19"/>
              </w:rPr>
              <w:t>Recheck runtime permission and relevant channels.</w:t>
            </w:r>
          </w:p>
        </w:tc>
      </w:tr>
      <w:tr>
        <w:trPr>
          <w:cantSplit/>
        </w:trPr>
        <w:tc>
          <w:tcPr>
            <w:tcW w:type="dxa" w:w="2412"/>
            <w:vAlign w:val="top"/>
            <w:tcW w:type="dxa" w:w="1279"/>
          </w:tcPr>
          <w:p>
            <w:pPr>
              <w:spacing w:before="20" w:after="40"/>
            </w:pPr>
            <w:r>
              <w:rPr>
                <w:rFonts w:ascii="Times New Roman" w:hAnsi="Times New Roman"/>
                <w:sz w:val="19"/>
              </w:rPr>
              <w:t>SYS-005</w:t>
            </w:r>
          </w:p>
        </w:tc>
        <w:tc>
          <w:tcPr>
            <w:tcW w:type="dxa" w:w="2412"/>
            <w:vAlign w:val="top"/>
            <w:tcW w:type="dxa" w:w="2346"/>
          </w:tcPr>
          <w:p>
            <w:pPr>
              <w:spacing w:before="20" w:after="40"/>
            </w:pPr>
            <w:r>
              <w:rPr>
                <w:rFonts w:ascii="Times New Roman" w:hAnsi="Times New Roman"/>
                <w:sz w:val="19"/>
              </w:rPr>
              <w:t>Biometric enrollment</w:t>
            </w:r>
          </w:p>
        </w:tc>
        <w:tc>
          <w:tcPr>
            <w:tcW w:type="dxa" w:w="2412"/>
            <w:vAlign w:val="top"/>
            <w:tcW w:type="dxa" w:w="3198"/>
          </w:tcPr>
          <w:p>
            <w:pPr>
              <w:spacing w:before="20" w:after="40"/>
            </w:pPr>
            <w:r>
              <w:rPr>
                <w:rFonts w:ascii="Times New Roman" w:hAnsi="Times New Roman"/>
                <w:sz w:val="19"/>
              </w:rPr>
              <w:t>Explain Android ownership and continued PIN fallback.</w:t>
            </w:r>
          </w:p>
        </w:tc>
        <w:tc>
          <w:tcPr>
            <w:tcW w:type="dxa" w:w="2412"/>
            <w:vAlign w:val="top"/>
            <w:tcW w:type="dxa" w:w="2417"/>
          </w:tcPr>
          <w:p>
            <w:pPr>
              <w:spacing w:before="20" w:after="40"/>
            </w:pPr>
            <w:r>
              <w:rPr>
                <w:rFonts w:ascii="Times New Roman" w:hAnsi="Times New Roman"/>
                <w:sz w:val="19"/>
              </w:rPr>
              <w:t>Re-evaluate eligibility; do not infer enrollment.</w:t>
            </w:r>
          </w:p>
        </w:tc>
      </w:tr>
      <w:tr>
        <w:trPr>
          <w:cantSplit/>
        </w:trPr>
        <w:tc>
          <w:tcPr>
            <w:tcW w:type="dxa" w:w="2412"/>
            <w:vAlign w:val="top"/>
            <w:tcW w:type="dxa" w:w="1279"/>
          </w:tcPr>
          <w:p>
            <w:pPr>
              <w:spacing w:before="20" w:after="40"/>
            </w:pPr>
            <w:r>
              <w:rPr>
                <w:rFonts w:ascii="Times New Roman" w:hAnsi="Times New Roman"/>
                <w:sz w:val="19"/>
              </w:rPr>
              <w:t>SYS-007</w:t>
            </w:r>
          </w:p>
        </w:tc>
        <w:tc>
          <w:tcPr>
            <w:tcW w:type="dxa" w:w="2412"/>
            <w:vAlign w:val="top"/>
            <w:tcW w:type="dxa" w:w="2346"/>
          </w:tcPr>
          <w:p>
            <w:pPr>
              <w:spacing w:before="20" w:after="40"/>
            </w:pPr>
            <w:r>
              <w:rPr>
                <w:rFonts w:ascii="Times New Roman" w:hAnsi="Times New Roman"/>
                <w:sz w:val="19"/>
              </w:rPr>
              <w:t>App or battery restrictions</w:t>
            </w:r>
          </w:p>
        </w:tc>
        <w:tc>
          <w:tcPr>
            <w:tcW w:type="dxa" w:w="2412"/>
            <w:vAlign w:val="top"/>
            <w:tcW w:type="dxa" w:w="3198"/>
          </w:tcPr>
          <w:p>
            <w:pPr>
              <w:spacing w:before="20" w:after="40"/>
            </w:pPr>
            <w:r>
              <w:rPr>
                <w:rFonts w:ascii="Times New Roman" w:hAnsi="Times New Roman"/>
                <w:sz w:val="19"/>
              </w:rPr>
              <w:t>Name the observed restriction and use the narrowest verified path.</w:t>
            </w:r>
          </w:p>
        </w:tc>
        <w:tc>
          <w:tcPr>
            <w:tcW w:type="dxa" w:w="2412"/>
            <w:vAlign w:val="top"/>
            <w:tcW w:type="dxa" w:w="2417"/>
          </w:tcPr>
          <w:p>
            <w:pPr>
              <w:spacing w:before="20" w:after="40"/>
            </w:pPr>
            <w:r>
              <w:rPr>
                <w:rFonts w:ascii="Times New Roman" w:hAnsi="Times New Roman"/>
                <w:sz w:val="19"/>
              </w:rPr>
              <w:t>Recheck the originating restriction and global health.</w:t>
            </w:r>
          </w:p>
        </w:tc>
      </w:tr>
      <w:tr>
        <w:trPr>
          <w:cantSplit/>
        </w:trPr>
        <w:tc>
          <w:tcPr>
            <w:tcW w:type="dxa" w:w="2412"/>
            <w:vAlign w:val="top"/>
            <w:tcW w:type="dxa" w:w="1279"/>
          </w:tcPr>
          <w:p>
            <w:pPr>
              <w:spacing w:before="20" w:after="40"/>
            </w:pPr>
            <w:r>
              <w:rPr>
                <w:rFonts w:ascii="Times New Roman" w:hAnsi="Times New Roman"/>
                <w:sz w:val="19"/>
              </w:rPr>
              <w:t>SYS-009</w:t>
            </w:r>
          </w:p>
        </w:tc>
        <w:tc>
          <w:tcPr>
            <w:tcW w:type="dxa" w:w="2412"/>
            <w:vAlign w:val="top"/>
            <w:tcW w:type="dxa" w:w="2346"/>
          </w:tcPr>
          <w:p>
            <w:pPr>
              <w:spacing w:before="20" w:after="40"/>
            </w:pPr>
            <w:r>
              <w:rPr>
                <w:rFonts w:ascii="Times New Roman" w:hAnsi="Times New Roman"/>
                <w:sz w:val="19"/>
              </w:rPr>
              <w:t>Android biometric prompt</w:t>
            </w:r>
          </w:p>
        </w:tc>
        <w:tc>
          <w:tcPr>
            <w:tcW w:type="dxa" w:w="2412"/>
            <w:vAlign w:val="top"/>
            <w:tcW w:type="dxa" w:w="3198"/>
          </w:tcPr>
          <w:p>
            <w:pPr>
              <w:spacing w:before="20" w:after="40"/>
            </w:pPr>
            <w:r>
              <w:rPr>
                <w:rFonts w:ascii="Times New Roman" w:hAnsi="Times New Roman"/>
                <w:sz w:val="19"/>
              </w:rPr>
              <w:t>Show authentication purpose and PIN fallback first.</w:t>
            </w:r>
          </w:p>
        </w:tc>
        <w:tc>
          <w:tcPr>
            <w:tcW w:type="dxa" w:w="2412"/>
            <w:vAlign w:val="top"/>
            <w:tcW w:type="dxa" w:w="2417"/>
          </w:tcPr>
          <w:p>
            <w:pPr>
              <w:spacing w:before="20" w:after="40"/>
            </w:pPr>
            <w:r>
              <w:rPr>
                <w:rFonts w:ascii="Times New Roman" w:hAnsi="Times New Roman"/>
                <w:sz w:val="19"/>
              </w:rPr>
              <w:t>Consume only the current result; cancellation creates no session.</w:t>
            </w:r>
          </w:p>
        </w:tc>
      </w:tr>
    </w:tbl>
    <w:p>
      <w:pPr>
        <w:pStyle w:val="Heading3"/>
        <w:jc w:val="left"/>
      </w:pPr>
      <w:r>
        <w:t>16.4 Motion and Interruption</w:t>
      </w:r>
    </w:p>
    <w:p>
      <w:pPr>
        <w:jc w:val="left"/>
      </w:pPr>
      <w:r>
        <w:t>Protected content shall be covered before navigation or animation. Routine movement shall be short, purposeful, interruptible, and replaced by an immediate change or brief fade under reduced motion. Animation shall never extend a session, delay a secure cover, or conceal a status change.</w:t>
      </w:r>
    </w:p>
    <w:p>
      <w:pPr>
        <w:jc w:val="left"/>
      </w:pPr>
      <w:r>
        <w:t>Rotation, backgrounding, task switching, and process recreation may preserve non-secret context only. A dialog returns focus to its invoking control; a system handoff returns focus to its originating row. Session expiry covers sensitive content before the gate appears.</w:t>
      </w:r>
    </w:p>
    <w:p>
      <w:pPr>
        <w:pStyle w:val="Heading1"/>
        <w:jc w:val="left"/>
      </w:pPr>
      <w:r>
        <w:t>Part V — Design System and Cross-Cutting Requirements</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