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19. Error, Degraded-State, and Recovery Design</w:t>
      </w:r>
    </w:p>
    <w:p>
      <w:pPr>
        <w:pStyle w:val="Heading3"/>
        <w:jc w:val="left"/>
      </w:pPr>
      <w:r>
        <w:t>19.1 Error Categories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417"/>
        <w:gridCol w:w="3625"/>
        <w:gridCol w:w="3198"/>
      </w:tblGrid>
      <w:tr>
        <w:trPr>
          <w:tblHeader w:val="true"/>
        </w:trPr>
        <w:tc>
          <w:tcPr>
            <w:tcW w:type="dxa" w:w="3216"/>
            <w:vAlign w:val="center"/>
            <w:shd w:fill="D9E1F2"/>
            <w:tcW w:type="dxa" w:w="2417"/>
          </w:tcPr>
          <w:p>
            <w:pPr>
              <w:spacing w:after="40"/>
            </w:pPr>
            <w:r>
              <w:rPr>
                <w:rFonts w:ascii="Times New Roman" w:hAnsi="Times New Roman"/>
                <w:b/>
                <w:sz w:val="19"/>
              </w:rPr>
              <w:t>Category</w:t>
            </w:r>
          </w:p>
        </w:tc>
        <w:tc>
          <w:tcPr>
            <w:tcW w:type="dxa" w:w="3216"/>
            <w:vAlign w:val="center"/>
            <w:shd w:fill="D9E1F2"/>
            <w:tcW w:type="dxa" w:w="3625"/>
          </w:tcPr>
          <w:p>
            <w:pPr>
              <w:spacing w:after="40"/>
            </w:pPr>
            <w:r>
              <w:rPr>
                <w:rFonts w:ascii="Times New Roman" w:hAnsi="Times New Roman"/>
                <w:b/>
                <w:sz w:val="19"/>
              </w:rPr>
              <w:t>Examples</w:t>
            </w:r>
          </w:p>
        </w:tc>
        <w:tc>
          <w:tcPr>
            <w:tcW w:type="dxa" w:w="3216"/>
            <w:vAlign w:val="center"/>
            <w:shd w:fill="D9E1F2"/>
            <w:tcW w:type="dxa" w:w="3198"/>
          </w:tcPr>
          <w:p>
            <w:pPr>
              <w:spacing w:after="40"/>
            </w:pPr>
            <w:r>
              <w:rPr>
                <w:rFonts w:ascii="Times New Roman" w:hAnsi="Times New Roman"/>
                <w:b/>
                <w:sz w:val="19"/>
              </w:rPr>
              <w:t>Safe response</w:t>
            </w:r>
          </w:p>
        </w:tc>
      </w:tr>
      <w:tr>
        <w:trPr>
          <w:cantSplit/>
        </w:trPr>
        <w:tc>
          <w:tcPr>
            <w:tcW w:type="dxa" w:w="3216"/>
            <w:vAlign w:val="top"/>
            <w:tcW w:type="dxa" w:w="2417"/>
          </w:tcPr>
          <w:p>
            <w:pPr>
              <w:spacing w:before="20" w:after="40"/>
            </w:pPr>
            <w:r>
              <w:rPr>
                <w:rFonts w:ascii="Times New Roman" w:hAnsi="Times New Roman"/>
                <w:sz w:val="19"/>
              </w:rPr>
              <w:t>Input</w:t>
            </w:r>
          </w:p>
        </w:tc>
        <w:tc>
          <w:tcPr>
            <w:tcW w:type="dxa" w:w="3216"/>
            <w:vAlign w:val="top"/>
            <w:tcW w:type="dxa" w:w="3625"/>
          </w:tcPr>
          <w:p>
            <w:pPr>
              <w:spacing w:before="20" w:after="40"/>
            </w:pPr>
            <w:r>
              <w:rPr>
                <w:rFonts w:ascii="Times New Roman" w:hAnsi="Times New Roman"/>
                <w:sz w:val="19"/>
              </w:rPr>
              <w:t>Invalid PIN format, mismatch, incorrect PIN.</w:t>
            </w:r>
          </w:p>
        </w:tc>
        <w:tc>
          <w:tcPr>
            <w:tcW w:type="dxa" w:w="3216"/>
            <w:vAlign w:val="top"/>
            <w:tcW w:type="dxa" w:w="3198"/>
          </w:tcPr>
          <w:p>
            <w:pPr>
              <w:spacing w:before="20" w:after="40"/>
            </w:pPr>
            <w:r>
              <w:rPr>
                <w:rFonts w:ascii="Times New Roman" w:hAnsi="Times New Roman"/>
                <w:sz w:val="19"/>
              </w:rPr>
              <w:t>Keep protected, identify correction without revealing secrets.</w:t>
            </w:r>
          </w:p>
        </w:tc>
      </w:tr>
      <w:tr>
        <w:trPr>
          <w:cantSplit/>
        </w:trPr>
        <w:tc>
          <w:tcPr>
            <w:tcW w:type="dxa" w:w="3216"/>
            <w:vAlign w:val="top"/>
            <w:tcW w:type="dxa" w:w="2417"/>
          </w:tcPr>
          <w:p>
            <w:pPr>
              <w:spacing w:before="20" w:after="40"/>
            </w:pPr>
            <w:r>
              <w:rPr>
                <w:rFonts w:ascii="Times New Roman" w:hAnsi="Times New Roman"/>
                <w:sz w:val="19"/>
              </w:rPr>
              <w:t>Android access</w:t>
            </w:r>
          </w:p>
        </w:tc>
        <w:tc>
          <w:tcPr>
            <w:tcW w:type="dxa" w:w="3216"/>
            <w:vAlign w:val="top"/>
            <w:tcW w:type="dxa" w:w="3625"/>
          </w:tcPr>
          <w:p>
            <w:pPr>
              <w:spacing w:before="20" w:after="40"/>
            </w:pPr>
            <w:r>
              <w:rPr>
                <w:rFonts w:ascii="Times New Roman" w:hAnsi="Times New Roman"/>
                <w:sz w:val="19"/>
              </w:rPr>
              <w:t>Denied or revoked Usage Access, missing lock presentation, blocked notifications.</w:t>
            </w:r>
          </w:p>
        </w:tc>
        <w:tc>
          <w:tcPr>
            <w:tcW w:type="dxa" w:w="3216"/>
            <w:vAlign w:val="top"/>
            <w:tcW w:type="dxa" w:w="3198"/>
          </w:tcPr>
          <w:p>
            <w:pPr>
              <w:spacing w:before="20" w:after="40"/>
            </w:pPr>
            <w:r>
              <w:rPr>
                <w:rFonts w:ascii="Times New Roman" w:hAnsi="Times New Roman"/>
                <w:sz w:val="19"/>
              </w:rPr>
              <w:t>Replace healthy claim, explain consequence, offer verified handoff.</w:t>
            </w:r>
          </w:p>
        </w:tc>
      </w:tr>
      <w:tr>
        <w:trPr>
          <w:cantSplit/>
        </w:trPr>
        <w:tc>
          <w:tcPr>
            <w:tcW w:type="dxa" w:w="3216"/>
            <w:vAlign w:val="top"/>
            <w:tcW w:type="dxa" w:w="2417"/>
          </w:tcPr>
          <w:p>
            <w:pPr>
              <w:spacing w:before="20" w:after="40"/>
            </w:pPr>
            <w:r>
              <w:rPr>
                <w:rFonts w:ascii="Times New Roman" w:hAnsi="Times New Roman"/>
                <w:sz w:val="19"/>
              </w:rPr>
              <w:t>Protection operation</w:t>
            </w:r>
          </w:p>
        </w:tc>
        <w:tc>
          <w:tcPr>
            <w:tcW w:type="dxa" w:w="3216"/>
            <w:vAlign w:val="top"/>
            <w:tcW w:type="dxa" w:w="3625"/>
          </w:tcPr>
          <w:p>
            <w:pPr>
              <w:spacing w:before="20" w:after="40"/>
            </w:pPr>
            <w:r>
              <w:rPr>
                <w:rFonts w:ascii="Times New Roman" w:hAnsi="Times New Roman"/>
                <w:sz w:val="19"/>
              </w:rPr>
              <w:t>Detection or cover cannot be established.</w:t>
            </w:r>
          </w:p>
        </w:tc>
        <w:tc>
          <w:tcPr>
            <w:tcW w:type="dxa" w:w="3216"/>
            <w:vAlign w:val="top"/>
            <w:tcW w:type="dxa" w:w="3198"/>
          </w:tcPr>
          <w:p>
            <w:pPr>
              <w:spacing w:before="20" w:after="40"/>
            </w:pPr>
            <w:r>
              <w:rPr>
                <w:rFonts w:ascii="Times New Roman" w:hAnsi="Times New Roman"/>
                <w:sz w:val="19"/>
              </w:rPr>
              <w:t>Cover when possible, show Protection interrupted, provide safe exit and recovery.</w:t>
            </w:r>
          </w:p>
        </w:tc>
      </w:tr>
      <w:tr>
        <w:trPr>
          <w:cantSplit/>
        </w:trPr>
        <w:tc>
          <w:tcPr>
            <w:tcW w:type="dxa" w:w="3216"/>
            <w:vAlign w:val="top"/>
            <w:tcW w:type="dxa" w:w="2417"/>
          </w:tcPr>
          <w:p>
            <w:pPr>
              <w:spacing w:before="20" w:after="40"/>
            </w:pPr>
            <w:r>
              <w:rPr>
                <w:rFonts w:ascii="Times New Roman" w:hAnsi="Times New Roman"/>
                <w:sz w:val="19"/>
              </w:rPr>
              <w:t>Local data</w:t>
            </w:r>
          </w:p>
        </w:tc>
        <w:tc>
          <w:tcPr>
            <w:tcW w:type="dxa" w:w="3216"/>
            <w:vAlign w:val="top"/>
            <w:tcW w:type="dxa" w:w="3625"/>
          </w:tcPr>
          <w:p>
            <w:pPr>
              <w:spacing w:before="20" w:after="40"/>
            </w:pPr>
            <w:r>
              <w:rPr>
                <w:rFonts w:ascii="Times New Roman" w:hAnsi="Times New Roman"/>
                <w:sz w:val="19"/>
              </w:rPr>
              <w:t>Save failure, migration failure, corruption, unreadable protected state.</w:t>
            </w:r>
          </w:p>
        </w:tc>
        <w:tc>
          <w:tcPr>
            <w:tcW w:type="dxa" w:w="3216"/>
            <w:vAlign w:val="top"/>
            <w:tcW w:type="dxa" w:w="3198"/>
          </w:tcPr>
          <w:p>
            <w:pPr>
              <w:spacing w:before="20" w:after="40"/>
            </w:pPr>
            <w:r>
              <w:rPr>
                <w:rFonts w:ascii="Times New Roman" w:hAnsi="Times New Roman"/>
                <w:sz w:val="19"/>
              </w:rPr>
              <w:t>Preserve prior valid data; do not use permissive defaults; offer controlled reset only when necessary.</w:t>
            </w:r>
          </w:p>
        </w:tc>
      </w:tr>
      <w:tr>
        <w:trPr>
          <w:cantSplit/>
        </w:trPr>
        <w:tc>
          <w:tcPr>
            <w:tcW w:type="dxa" w:w="3216"/>
            <w:vAlign w:val="top"/>
            <w:tcW w:type="dxa" w:w="2417"/>
          </w:tcPr>
          <w:p>
            <w:pPr>
              <w:spacing w:before="20" w:after="40"/>
            </w:pPr>
            <w:r>
              <w:rPr>
                <w:rFonts w:ascii="Times New Roman" w:hAnsi="Times New Roman"/>
                <w:sz w:val="19"/>
              </w:rPr>
              <w:t>Inventory</w:t>
            </w:r>
          </w:p>
        </w:tc>
        <w:tc>
          <w:tcPr>
            <w:tcW w:type="dxa" w:w="3216"/>
            <w:vAlign w:val="top"/>
            <w:tcW w:type="dxa" w:w="3625"/>
          </w:tcPr>
          <w:p>
            <w:pPr>
              <w:spacing w:before="20" w:after="40"/>
            </w:pPr>
            <w:r>
              <w:rPr>
                <w:rFonts w:ascii="Times New Roman" w:hAnsi="Times New Roman"/>
                <w:sz w:val="19"/>
              </w:rPr>
              <w:t>Installed-app list unavailable or target identity changed.</w:t>
            </w:r>
          </w:p>
        </w:tc>
        <w:tc>
          <w:tcPr>
            <w:tcW w:type="dxa" w:w="3216"/>
            <w:vAlign w:val="top"/>
            <w:tcW w:type="dxa" w:w="3198"/>
          </w:tcPr>
          <w:p>
            <w:pPr>
              <w:spacing w:before="20" w:after="40"/>
            </w:pPr>
            <w:r>
              <w:rPr>
                <w:rFonts w:ascii="Times New Roman" w:hAnsi="Times New Roman"/>
                <w:sz w:val="19"/>
              </w:rPr>
              <w:t>Preserve committed choices, disable stale actions, retry and reconcile.</w:t>
            </w:r>
          </w:p>
        </w:tc>
      </w:tr>
      <w:tr>
        <w:trPr>
          <w:cantSplit/>
        </w:trPr>
        <w:tc>
          <w:tcPr>
            <w:tcW w:type="dxa" w:w="3216"/>
            <w:vAlign w:val="top"/>
            <w:tcW w:type="dxa" w:w="2417"/>
          </w:tcPr>
          <w:p>
            <w:pPr>
              <w:spacing w:before="20" w:after="40"/>
            </w:pPr>
            <w:r>
              <w:rPr>
                <w:rFonts w:ascii="Times New Roman" w:hAnsi="Times New Roman"/>
                <w:sz w:val="19"/>
              </w:rPr>
              <w:t>Unknown or not verified</w:t>
            </w:r>
          </w:p>
        </w:tc>
        <w:tc>
          <w:tcPr>
            <w:tcW w:type="dxa" w:w="3216"/>
            <w:vAlign w:val="top"/>
            <w:tcW w:type="dxa" w:w="3625"/>
          </w:tcPr>
          <w:p>
            <w:pPr>
              <w:spacing w:before="20" w:after="40"/>
            </w:pPr>
            <w:r>
              <w:rPr>
                <w:rFonts w:ascii="Times New Roman" w:hAnsi="Times New Roman"/>
                <w:sz w:val="19"/>
              </w:rPr>
              <w:t>Timeout, contradictory, or stale evidence.</w:t>
            </w:r>
          </w:p>
        </w:tc>
        <w:tc>
          <w:tcPr>
            <w:tcW w:type="dxa" w:w="3216"/>
            <w:vAlign w:val="top"/>
            <w:tcW w:type="dxa" w:w="3198"/>
          </w:tcPr>
          <w:p>
            <w:pPr>
              <w:spacing w:before="20" w:after="40"/>
            </w:pPr>
            <w:r>
              <w:rPr>
                <w:rFonts w:ascii="Times New Roman" w:hAnsi="Times New Roman"/>
                <w:sz w:val="19"/>
              </w:rPr>
              <w:t>Show Not verified and run a fresh check; never infer Protected.</w:t>
            </w:r>
          </w:p>
        </w:tc>
      </w:tr>
    </w:tbl>
    <w:p>
      <w:pPr>
        <w:pStyle w:val="Heading3"/>
        <w:jc w:val="left"/>
      </w:pPr>
      <w:r>
        <w:t>19.2 Message Structure</w:t>
      </w:r>
    </w:p>
    <w:p>
      <w:pPr>
        <w:jc w:val="left"/>
      </w:pPr>
      <w:r>
        <w:t>Persistent failures shall state: what happened, what is affected, what remains safe or unavailable, and the next action. Technical identifiers and exception text shall not be shown. Retry appears only when the operation is safe and can reasonably succeed; repeated failure moves to the durable Health or Diagnostics explanation.</w:t>
      </w:r>
    </w:p>
    <w:p>
      <w:pPr>
        <w:pStyle w:val="Heading3"/>
        <w:jc w:val="left"/>
      </w:pPr>
      <w:r>
        <w:t>19.3 Recovery Rules</w:t>
      </w:r>
    </w:p>
    <w:p>
      <w:pPr>
        <w:pStyle w:val="ListBullet"/>
        <w:jc w:val="left"/>
      </w:pPr>
      <w:r>
        <w:t>A retry shall not duplicate a protection change or destructive action.</w:t>
      </w:r>
    </w:p>
    <w:p>
      <w:pPr>
        <w:pStyle w:val="ListBullet"/>
        <w:jc w:val="left"/>
      </w:pPr>
      <w:r>
        <w:t>A failed save restores the previously committed visual value.</w:t>
      </w:r>
    </w:p>
    <w:p>
      <w:pPr>
        <w:pStyle w:val="ListBullet"/>
        <w:jc w:val="left"/>
      </w:pPr>
      <w:r>
        <w:t>A settings handoff is followed by verification, not assumed success.</w:t>
      </w:r>
    </w:p>
    <w:p>
      <w:pPr>
        <w:pStyle w:val="ListBullet"/>
        <w:jc w:val="left"/>
      </w:pPr>
      <w:r>
        <w:t>A stale target is discarded rather than retargeted by name alone.</w:t>
      </w:r>
    </w:p>
    <w:p>
      <w:pPr>
        <w:pStyle w:val="ListBullet"/>
        <w:jc w:val="left"/>
      </w:pPr>
      <w:r>
        <w:t>An unreadable credential or configuration never creates authorization.</w:t>
      </w:r>
    </w:p>
    <w:p>
      <w:pPr>
        <w:pStyle w:val="ListBullet"/>
        <w:jc w:val="left"/>
      </w:pPr>
      <w:r>
        <w:t>A complete reset is the final local recovery only after explicit consequences and authentication where possible.</w:t>
      </w:r>
    </w:p>
    <w:p>
      <w:pPr>
        <w:pStyle w:val="Heading3"/>
        <w:jc w:val="left"/>
      </w:pPr>
      <w:r>
        <w:t>19.4 User-Facing Error Catalog</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985"/>
        <w:gridCol w:w="3909"/>
        <w:gridCol w:w="2346"/>
      </w:tblGrid>
      <w:tr>
        <w:trPr>
          <w:tblHeader w:val="true"/>
        </w:trPr>
        <w:tc>
          <w:tcPr>
            <w:tcW w:type="dxa" w:w="3216"/>
            <w:vAlign w:val="center"/>
            <w:shd w:fill="D9E1F2"/>
            <w:tcW w:type="dxa" w:w="2985"/>
          </w:tcPr>
          <w:p>
            <w:pPr>
              <w:spacing w:after="40"/>
            </w:pPr>
            <w:r>
              <w:rPr>
                <w:rFonts w:ascii="Times New Roman" w:hAnsi="Times New Roman"/>
                <w:b/>
                <w:sz w:val="19"/>
              </w:rPr>
              <w:t>Condition</w:t>
            </w:r>
          </w:p>
        </w:tc>
        <w:tc>
          <w:tcPr>
            <w:tcW w:type="dxa" w:w="3216"/>
            <w:vAlign w:val="center"/>
            <w:shd w:fill="D9E1F2"/>
            <w:tcW w:type="dxa" w:w="3909"/>
          </w:tcPr>
          <w:p>
            <w:pPr>
              <w:spacing w:after="40"/>
            </w:pPr>
            <w:r>
              <w:rPr>
                <w:rFonts w:ascii="Times New Roman" w:hAnsi="Times New Roman"/>
                <w:b/>
                <w:sz w:val="19"/>
              </w:rPr>
              <w:t>Required message intent</w:t>
            </w:r>
          </w:p>
        </w:tc>
        <w:tc>
          <w:tcPr>
            <w:tcW w:type="dxa" w:w="3216"/>
            <w:vAlign w:val="center"/>
            <w:shd w:fill="D9E1F2"/>
            <w:tcW w:type="dxa" w:w="2346"/>
          </w:tcPr>
          <w:p>
            <w:pPr>
              <w:spacing w:after="40"/>
            </w:pPr>
            <w:r>
              <w:rPr>
                <w:rFonts w:ascii="Times New Roman" w:hAnsi="Times New Roman"/>
                <w:b/>
                <w:sz w:val="19"/>
              </w:rPr>
              <w:t>Primary action</w:t>
            </w:r>
          </w:p>
        </w:tc>
      </w:tr>
      <w:tr>
        <w:trPr>
          <w:cantSplit/>
        </w:trPr>
        <w:tc>
          <w:tcPr>
            <w:tcW w:type="dxa" w:w="3216"/>
            <w:vAlign w:val="top"/>
            <w:tcW w:type="dxa" w:w="2985"/>
          </w:tcPr>
          <w:p>
            <w:pPr>
              <w:spacing w:before="20" w:after="40"/>
            </w:pPr>
            <w:r>
              <w:rPr>
                <w:rFonts w:ascii="Times New Roman" w:hAnsi="Times New Roman"/>
                <w:sz w:val="19"/>
              </w:rPr>
              <w:t>Usage Access unavailable</w:t>
            </w:r>
          </w:p>
        </w:tc>
        <w:tc>
          <w:tcPr>
            <w:tcW w:type="dxa" w:w="3216"/>
            <w:vAlign w:val="top"/>
            <w:tcW w:type="dxa" w:w="3909"/>
          </w:tcPr>
          <w:p>
            <w:pPr>
              <w:spacing w:before="20" w:after="40"/>
            </w:pPr>
            <w:r>
              <w:rPr>
                <w:rFonts w:ascii="Times New Roman" w:hAnsi="Times New Roman"/>
                <w:sz w:val="19"/>
              </w:rPr>
              <w:t>App Lock cannot reliably identify protected apps.</w:t>
            </w:r>
          </w:p>
        </w:tc>
        <w:tc>
          <w:tcPr>
            <w:tcW w:type="dxa" w:w="3216"/>
            <w:vAlign w:val="top"/>
            <w:tcW w:type="dxa" w:w="2346"/>
          </w:tcPr>
          <w:p>
            <w:pPr>
              <w:spacing w:before="20" w:after="40"/>
            </w:pPr>
            <w:r>
              <w:rPr>
                <w:rFonts w:ascii="Times New Roman" w:hAnsi="Times New Roman"/>
                <w:sz w:val="19"/>
              </w:rPr>
              <w:t>Open Usage Access.</w:t>
            </w:r>
          </w:p>
        </w:tc>
      </w:tr>
      <w:tr>
        <w:trPr>
          <w:cantSplit/>
        </w:trPr>
        <w:tc>
          <w:tcPr>
            <w:tcW w:type="dxa" w:w="3216"/>
            <w:vAlign w:val="top"/>
            <w:tcW w:type="dxa" w:w="2985"/>
          </w:tcPr>
          <w:p>
            <w:pPr>
              <w:spacing w:before="20" w:after="40"/>
            </w:pPr>
            <w:r>
              <w:rPr>
                <w:rFonts w:ascii="Times New Roman" w:hAnsi="Times New Roman"/>
                <w:sz w:val="19"/>
              </w:rPr>
              <w:t>Lock presentation unavailable</w:t>
            </w:r>
          </w:p>
        </w:tc>
        <w:tc>
          <w:tcPr>
            <w:tcW w:type="dxa" w:w="3216"/>
            <w:vAlign w:val="top"/>
            <w:tcW w:type="dxa" w:w="3909"/>
          </w:tcPr>
          <w:p>
            <w:pPr>
              <w:spacing w:before="20" w:after="40"/>
            </w:pPr>
            <w:r>
              <w:rPr>
                <w:rFonts w:ascii="Times New Roman" w:hAnsi="Times New Roman"/>
                <w:sz w:val="19"/>
              </w:rPr>
              <w:t>App Lock cannot reliably cover a protected app.</w:t>
            </w:r>
          </w:p>
        </w:tc>
        <w:tc>
          <w:tcPr>
            <w:tcW w:type="dxa" w:w="3216"/>
            <w:vAlign w:val="top"/>
            <w:tcW w:type="dxa" w:w="2346"/>
          </w:tcPr>
          <w:p>
            <w:pPr>
              <w:spacing w:before="20" w:after="40"/>
            </w:pPr>
            <w:r>
              <w:rPr>
                <w:rFonts w:ascii="Times New Roman" w:hAnsi="Times New Roman"/>
                <w:sz w:val="19"/>
              </w:rPr>
              <w:t>Review Android setting.</w:t>
            </w:r>
          </w:p>
        </w:tc>
      </w:tr>
      <w:tr>
        <w:trPr>
          <w:cantSplit/>
        </w:trPr>
        <w:tc>
          <w:tcPr>
            <w:tcW w:type="dxa" w:w="3216"/>
            <w:vAlign w:val="top"/>
            <w:tcW w:type="dxa" w:w="2985"/>
          </w:tcPr>
          <w:p>
            <w:pPr>
              <w:spacing w:before="20" w:after="40"/>
            </w:pPr>
            <w:r>
              <w:rPr>
                <w:rFonts w:ascii="Times New Roman" w:hAnsi="Times New Roman"/>
                <w:sz w:val="19"/>
              </w:rPr>
              <w:t>Protection check timed out</w:t>
            </w:r>
          </w:p>
        </w:tc>
        <w:tc>
          <w:tcPr>
            <w:tcW w:type="dxa" w:w="3216"/>
            <w:vAlign w:val="top"/>
            <w:tcW w:type="dxa" w:w="3909"/>
          </w:tcPr>
          <w:p>
            <w:pPr>
              <w:spacing w:before="20" w:after="40"/>
            </w:pPr>
            <w:r>
              <w:rPr>
                <w:rFonts w:ascii="Times New Roman" w:hAnsi="Times New Roman"/>
                <w:sz w:val="19"/>
              </w:rPr>
              <w:t>Current protection could not be verified.</w:t>
            </w:r>
          </w:p>
        </w:tc>
        <w:tc>
          <w:tcPr>
            <w:tcW w:type="dxa" w:w="3216"/>
            <w:vAlign w:val="top"/>
            <w:tcW w:type="dxa" w:w="2346"/>
          </w:tcPr>
          <w:p>
            <w:pPr>
              <w:spacing w:before="20" w:after="40"/>
            </w:pPr>
            <w:r>
              <w:rPr>
                <w:rFonts w:ascii="Times New Roman" w:hAnsi="Times New Roman"/>
                <w:sz w:val="19"/>
              </w:rPr>
              <w:t>Check again.</w:t>
            </w:r>
          </w:p>
        </w:tc>
      </w:tr>
      <w:tr>
        <w:trPr>
          <w:cantSplit/>
        </w:trPr>
        <w:tc>
          <w:tcPr>
            <w:tcW w:type="dxa" w:w="3216"/>
            <w:vAlign w:val="top"/>
            <w:tcW w:type="dxa" w:w="2985"/>
          </w:tcPr>
          <w:p>
            <w:pPr>
              <w:spacing w:before="20" w:after="40"/>
            </w:pPr>
            <w:r>
              <w:rPr>
                <w:rFonts w:ascii="Times New Roman" w:hAnsi="Times New Roman"/>
                <w:sz w:val="19"/>
              </w:rPr>
              <w:t>PIN save failed</w:t>
            </w:r>
          </w:p>
        </w:tc>
        <w:tc>
          <w:tcPr>
            <w:tcW w:type="dxa" w:w="3216"/>
            <w:vAlign w:val="top"/>
            <w:tcW w:type="dxa" w:w="3909"/>
          </w:tcPr>
          <w:p>
            <w:pPr>
              <w:spacing w:before="20" w:after="40"/>
            </w:pPr>
            <w:r>
              <w:rPr>
                <w:rFonts w:ascii="Times New Roman" w:hAnsi="Times New Roman"/>
                <w:sz w:val="19"/>
              </w:rPr>
              <w:t>No new PIN was saved.</w:t>
            </w:r>
          </w:p>
        </w:tc>
        <w:tc>
          <w:tcPr>
            <w:tcW w:type="dxa" w:w="3216"/>
            <w:vAlign w:val="top"/>
            <w:tcW w:type="dxa" w:w="2346"/>
          </w:tcPr>
          <w:p>
            <w:pPr>
              <w:spacing w:before="20" w:after="40"/>
            </w:pPr>
            <w:r>
              <w:rPr>
                <w:rFonts w:ascii="Times New Roman" w:hAnsi="Times New Roman"/>
                <w:sz w:val="19"/>
              </w:rPr>
              <w:t>Try again.</w:t>
            </w:r>
          </w:p>
        </w:tc>
      </w:tr>
      <w:tr>
        <w:trPr>
          <w:cantSplit/>
        </w:trPr>
        <w:tc>
          <w:tcPr>
            <w:tcW w:type="dxa" w:w="3216"/>
            <w:vAlign w:val="top"/>
            <w:tcW w:type="dxa" w:w="2985"/>
          </w:tcPr>
          <w:p>
            <w:pPr>
              <w:spacing w:before="20" w:after="40"/>
            </w:pPr>
            <w:r>
              <w:rPr>
                <w:rFonts w:ascii="Times New Roman" w:hAnsi="Times New Roman"/>
                <w:sz w:val="19"/>
              </w:rPr>
              <w:t>Protection change failed</w:t>
            </w:r>
          </w:p>
        </w:tc>
        <w:tc>
          <w:tcPr>
            <w:tcW w:type="dxa" w:w="3216"/>
            <w:vAlign w:val="top"/>
            <w:tcW w:type="dxa" w:w="3909"/>
          </w:tcPr>
          <w:p>
            <w:pPr>
              <w:spacing w:before="20" w:after="40"/>
            </w:pPr>
            <w:r>
              <w:rPr>
                <w:rFonts w:ascii="Times New Roman" w:hAnsi="Times New Roman"/>
                <w:sz w:val="19"/>
              </w:rPr>
              <w:t>The previous protection setting remains.</w:t>
            </w:r>
          </w:p>
        </w:tc>
        <w:tc>
          <w:tcPr>
            <w:tcW w:type="dxa" w:w="3216"/>
            <w:vAlign w:val="top"/>
            <w:tcW w:type="dxa" w:w="2346"/>
          </w:tcPr>
          <w:p>
            <w:pPr>
              <w:spacing w:before="20" w:after="40"/>
            </w:pPr>
            <w:r>
              <w:rPr>
                <w:rFonts w:ascii="Times New Roman" w:hAnsi="Times New Roman"/>
                <w:sz w:val="19"/>
              </w:rPr>
              <w:t>Retry.</w:t>
            </w:r>
          </w:p>
        </w:tc>
      </w:tr>
      <w:tr>
        <w:trPr>
          <w:cantSplit/>
        </w:trPr>
        <w:tc>
          <w:tcPr>
            <w:tcW w:type="dxa" w:w="3216"/>
            <w:vAlign w:val="top"/>
            <w:tcW w:type="dxa" w:w="2985"/>
          </w:tcPr>
          <w:p>
            <w:pPr>
              <w:spacing w:before="20" w:after="40"/>
            </w:pPr>
            <w:r>
              <w:rPr>
                <w:rFonts w:ascii="Times New Roman" w:hAnsi="Times New Roman"/>
                <w:sz w:val="19"/>
              </w:rPr>
              <w:t>App identity changed</w:t>
            </w:r>
          </w:p>
        </w:tc>
        <w:tc>
          <w:tcPr>
            <w:tcW w:type="dxa" w:w="3216"/>
            <w:vAlign w:val="top"/>
            <w:tcW w:type="dxa" w:w="3909"/>
          </w:tcPr>
          <w:p>
            <w:pPr>
              <w:spacing w:before="20" w:after="40"/>
            </w:pPr>
            <w:r>
              <w:rPr>
                <w:rFonts w:ascii="Times New Roman" w:hAnsi="Times New Roman"/>
                <w:sz w:val="19"/>
              </w:rPr>
              <w:t>The selected app can no longer be safely matched.</w:t>
            </w:r>
          </w:p>
        </w:tc>
        <w:tc>
          <w:tcPr>
            <w:tcW w:type="dxa" w:w="3216"/>
            <w:vAlign w:val="top"/>
            <w:tcW w:type="dxa" w:w="2346"/>
          </w:tcPr>
          <w:p>
            <w:pPr>
              <w:spacing w:before="20" w:after="40"/>
            </w:pPr>
            <w:r>
              <w:rPr>
                <w:rFonts w:ascii="Times New Roman" w:hAnsi="Times New Roman"/>
                <w:sz w:val="19"/>
              </w:rPr>
              <w:t>Return to Apps.</w:t>
            </w:r>
          </w:p>
        </w:tc>
      </w:tr>
      <w:tr>
        <w:trPr>
          <w:cantSplit/>
        </w:trPr>
        <w:tc>
          <w:tcPr>
            <w:tcW w:type="dxa" w:w="3216"/>
            <w:vAlign w:val="top"/>
            <w:tcW w:type="dxa" w:w="2985"/>
          </w:tcPr>
          <w:p>
            <w:pPr>
              <w:spacing w:before="20" w:after="40"/>
            </w:pPr>
            <w:r>
              <w:rPr>
                <w:rFonts w:ascii="Times New Roman" w:hAnsi="Times New Roman"/>
                <w:sz w:val="19"/>
              </w:rPr>
              <w:t>Local protected data unreadable</w:t>
            </w:r>
          </w:p>
        </w:tc>
        <w:tc>
          <w:tcPr>
            <w:tcW w:type="dxa" w:w="3216"/>
            <w:vAlign w:val="top"/>
            <w:tcW w:type="dxa" w:w="3909"/>
          </w:tcPr>
          <w:p>
            <w:pPr>
              <w:spacing w:before="20" w:after="40"/>
            </w:pPr>
            <w:r>
              <w:rPr>
                <w:rFonts w:ascii="Times New Roman" w:hAnsi="Times New Roman"/>
                <w:sz w:val="19"/>
              </w:rPr>
              <w:t>App Lock cannot use the current local configuration safely.</w:t>
            </w:r>
          </w:p>
        </w:tc>
        <w:tc>
          <w:tcPr>
            <w:tcW w:type="dxa" w:w="3216"/>
            <w:vAlign w:val="top"/>
            <w:tcW w:type="dxa" w:w="2346"/>
          </w:tcPr>
          <w:p>
            <w:pPr>
              <w:spacing w:before="20" w:after="40"/>
            </w:pPr>
            <w:r>
              <w:rPr>
                <w:rFonts w:ascii="Times New Roman" w:hAnsi="Times New Roman"/>
                <w:sz w:val="19"/>
              </w:rPr>
              <w:t>Review reset information.</w:t>
            </w:r>
          </w:p>
        </w:tc>
      </w:tr>
      <w:tr>
        <w:trPr>
          <w:cantSplit/>
        </w:trPr>
        <w:tc>
          <w:tcPr>
            <w:tcW w:type="dxa" w:w="3216"/>
            <w:vAlign w:val="top"/>
            <w:tcW w:type="dxa" w:w="2985"/>
          </w:tcPr>
          <w:p>
            <w:pPr>
              <w:spacing w:before="20" w:after="40"/>
            </w:pPr>
            <w:r>
              <w:rPr>
                <w:rFonts w:ascii="Times New Roman" w:hAnsi="Times New Roman"/>
                <w:sz w:val="19"/>
              </w:rPr>
              <w:t>Force-stop detected or reported</w:t>
            </w:r>
          </w:p>
        </w:tc>
        <w:tc>
          <w:tcPr>
            <w:tcW w:type="dxa" w:w="3216"/>
            <w:vAlign w:val="top"/>
            <w:tcW w:type="dxa" w:w="3909"/>
          </w:tcPr>
          <w:p>
            <w:pPr>
              <w:spacing w:before="20" w:after="40"/>
            </w:pPr>
            <w:r>
              <w:rPr>
                <w:rFonts w:ascii="Times New Roman" w:hAnsi="Times New Roman"/>
                <w:sz w:val="19"/>
              </w:rPr>
              <w:t>Android may have prevented App Lock from running.</w:t>
            </w:r>
          </w:p>
        </w:tc>
        <w:tc>
          <w:tcPr>
            <w:tcW w:type="dxa" w:w="3216"/>
            <w:vAlign w:val="top"/>
            <w:tcW w:type="dxa" w:w="2346"/>
          </w:tcPr>
          <w:p>
            <w:pPr>
              <w:spacing w:before="20" w:after="40"/>
            </w:pPr>
            <w:r>
              <w:rPr>
                <w:rFonts w:ascii="Times New Roman" w:hAnsi="Times New Roman"/>
                <w:sz w:val="19"/>
              </w:rPr>
              <w:t>Start and check protection.</w:t>
            </w:r>
          </w:p>
        </w:tc>
      </w:tr>
    </w:tbl>
    <w:p>
      <w:pPr>
        <w:pStyle w:val="Heading1"/>
        <w:jc w:val="left"/>
      </w:pPr>
      <w:r>
        <w:t>Part VI — Acceptance and Document Consistency</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