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20. Traceability, Verification, and Document Maintenance</w:t>
      </w:r>
    </w:p>
    <w:p>
      <w:pPr>
        <w:pStyle w:val="Heading3"/>
        <w:jc w:val="left"/>
      </w:pPr>
      <w:r>
        <w:t>20.1 UX Acceptance</w:t>
      </w:r>
    </w:p>
    <w:p>
      <w:pPr>
        <w:jc w:val="left"/>
      </w:pPr>
      <w:r>
        <w:t>The experience is acceptable when all included screens and transient surfaces exist with their specified states; every protected exit is safe; every required Android handoff is explained and verified; every global state is truthful; the visual system is coherent and polished; and the primary journeys pass accessibility, privacy, phone-orientation, interruption, and long-content review.</w:t>
      </w:r>
    </w:p>
    <w:p>
      <w:pPr>
        <w:pStyle w:val="Heading3"/>
        <w:jc w:val="left"/>
      </w:pPr>
      <w:r>
        <w:t>20.2 Security Invariants</w:t>
      </w:r>
    </w:p>
    <w:p>
      <w:pPr>
        <w:pStyle w:val="ListBullet"/>
        <w:jc w:val="left"/>
      </w:pPr>
      <w:r>
        <w:t>Protected content is covered before authentication presentation.</w:t>
      </w:r>
    </w:p>
    <w:p>
      <w:pPr>
        <w:pStyle w:val="ListBullet"/>
        <w:jc w:val="left"/>
      </w:pPr>
      <w:r>
        <w:t>Authentication failure, cancellation, interruption, and expiry never create authorization.</w:t>
      </w:r>
    </w:p>
    <w:p>
      <w:pPr>
        <w:pStyle w:val="ListBullet"/>
        <w:jc w:val="left"/>
      </w:pPr>
      <w:r>
        <w:t>A healthy protection claim requires fresh evidence.</w:t>
      </w:r>
    </w:p>
    <w:p>
      <w:pPr>
        <w:pStyle w:val="ListBullet"/>
        <w:jc w:val="left"/>
      </w:pPr>
      <w:r>
        <w:t>A protection-reducing action names and revalidates its scope.</w:t>
      </w:r>
    </w:p>
    <w:p>
      <w:pPr>
        <w:pStyle w:val="ListBullet"/>
        <w:jc w:val="left"/>
      </w:pPr>
      <w:r>
        <w:t>Secret input is not restored, logged, announced, copied, or shown in recents.</w:t>
      </w:r>
    </w:p>
    <w:p>
      <w:pPr>
        <w:pStyle w:val="ListBullet"/>
        <w:jc w:val="left"/>
      </w:pPr>
      <w:r>
        <w:t>Missing or unreadable security state is never interpreted as permission to proceed.</w:t>
      </w:r>
    </w:p>
    <w:p>
      <w:pPr>
        <w:pStyle w:val="Heading3"/>
        <w:jc w:val="left"/>
      </w:pPr>
      <w:r>
        <w:t>20.3 Companion-Specification Consistency</w:t>
      </w:r>
    </w:p>
    <w:p>
      <w:pPr>
        <w:jc w:val="left"/>
      </w:pPr>
      <w:r>
        <w:t>The controlled screen and surface identifiers in this document shall remain stable within Version 1.0.0. When observable behavior changes, the corresponding Software Requirements, Non-Functional Requirements, Software Design, Database Design, and Threat Model statements shall be reviewed for the same boundary. Internal development identifiers and status records shall not be inserted into this reader-facing specification.</w:t>
      </w:r>
    </w:p>
    <w:p>
      <w:pPr>
        <w:pStyle w:val="Heading3"/>
        <w:jc w:val="left"/>
      </w:pPr>
      <w:r>
        <w:t>20.4 Verification Summary</w:t>
      </w:r>
    </w:p>
    <w:p>
      <w:pPr>
        <w:jc w:val="left"/>
      </w:pPr>
      <w:r>
        <w:t>Verification shall cover Android 11–15 phones in portrait and landscape; PIN and all biometric outcomes; retry delay and lockout; rapid switching and relaunch; screen off, process death, reboot, and force-stop recovery; required-access denial and revocation; system handoff return; secure recents and screenshots; TalkBack; 200 percent font scaling; reduced motion; light and dark themes; RTL; long strings; storage failure; and migration failure.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