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UI/UX Specification</w:t>
      </w:r>
    </w:p>
    <w:p>
      <w:pPr>
        <w:pStyle w:val="Subtitle"/>
        <w:jc w:val="left"/>
      </w:pPr>
      <w:r>
        <w:t>Version 1.0.0</w:t>
      </w:r>
    </w:p>
    <w:p>
      <w:pPr>
        <w:pStyle w:val="Heading1"/>
        <w:jc w:val="left"/>
      </w:pPr>
      <w:r>
        <w:t>6. Content and Terminology</w:t>
      </w:r>
    </w:p>
    <w:p>
      <w:pPr>
        <w:pStyle w:val="Heading3"/>
        <w:jc w:val="left"/>
      </w:pPr>
      <w:r>
        <w:t>6.1 Voice</w:t>
      </w:r>
    </w:p>
    <w:p>
      <w:pPr>
        <w:jc w:val="left"/>
      </w:pPr>
      <w:r>
        <w:t>Content shall be concise, calm, direct, and specific. It shall name what happened, the consequence, and the next action. It shall avoid blame, alarmist language, unnecessary technical terms, and false certainty.</w:t>
      </w:r>
    </w:p>
    <w:p>
      <w:pPr>
        <w:pStyle w:val="Heading3"/>
        <w:jc w:val="left"/>
      </w:pPr>
      <w:r>
        <w:t>6.2 Controlled Terms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630"/>
        <w:gridCol w:w="3270"/>
        <w:gridCol w:w="3340"/>
      </w:tblGrid>
      <w:tr>
        <w:trPr>
          <w:tblHeader w:val="true"/>
        </w:trPr>
        <w:tc>
          <w:tcPr>
            <w:tcW w:type="dxa" w:w="3216"/>
            <w:vAlign w:val="center"/>
            <w:shd w:fill="D9E1F2"/>
            <w:tcW w:type="dxa" w:w="2630"/>
          </w:tcPr>
          <w:p>
            <w:pPr>
              <w:spacing w:after="40"/>
            </w:pPr>
            <w:r>
              <w:rPr>
                <w:rFonts w:ascii="Times New Roman" w:hAnsi="Times New Roman"/>
                <w:b/>
                <w:sz w:val="19"/>
              </w:rPr>
              <w:t>Term</w:t>
            </w:r>
          </w:p>
        </w:tc>
        <w:tc>
          <w:tcPr>
            <w:tcW w:type="dxa" w:w="3216"/>
            <w:vAlign w:val="center"/>
            <w:shd w:fill="D9E1F2"/>
            <w:tcW w:type="dxa" w:w="3270"/>
          </w:tcPr>
          <w:p>
            <w:pPr>
              <w:spacing w:after="40"/>
            </w:pPr>
            <w:r>
              <w:rPr>
                <w:rFonts w:ascii="Times New Roman" w:hAnsi="Times New Roman"/>
                <w:b/>
                <w:sz w:val="19"/>
              </w:rPr>
              <w:t>Use</w:t>
            </w:r>
          </w:p>
        </w:tc>
        <w:tc>
          <w:tcPr>
            <w:tcW w:type="dxa" w:w="3216"/>
            <w:vAlign w:val="center"/>
            <w:shd w:fill="D9E1F2"/>
            <w:tcW w:type="dxa" w:w="3340"/>
          </w:tcPr>
          <w:p>
            <w:pPr>
              <w:spacing w:after="40"/>
            </w:pPr>
            <w:r>
              <w:rPr>
                <w:rFonts w:ascii="Times New Roman" w:hAnsi="Times New Roman"/>
                <w:b/>
                <w:sz w:val="19"/>
              </w:rPr>
              <w:t>Avoid</w:t>
            </w:r>
          </w:p>
        </w:tc>
      </w:tr>
      <w:tr>
        <w:trPr>
          <w:cantSplit/>
        </w:trPr>
        <w:tc>
          <w:tcPr>
            <w:tcW w:type="dxa" w:w="3216"/>
            <w:vAlign w:val="top"/>
            <w:tcW w:type="dxa" w:w="2630"/>
          </w:tcPr>
          <w:p>
            <w:pPr>
              <w:spacing w:before="20" w:after="40"/>
            </w:pPr>
            <w:r>
              <w:rPr>
                <w:rFonts w:ascii="Times New Roman" w:hAnsi="Times New Roman"/>
                <w:sz w:val="19"/>
              </w:rPr>
              <w:t>Protected app</w:t>
            </w:r>
          </w:p>
        </w:tc>
        <w:tc>
          <w:tcPr>
            <w:tcW w:type="dxa" w:w="3216"/>
            <w:vAlign w:val="top"/>
            <w:tcW w:type="dxa" w:w="3270"/>
          </w:tcPr>
          <w:p>
            <w:pPr>
              <w:spacing w:before="20" w:after="40"/>
            </w:pPr>
            <w:r>
              <w:rPr>
                <w:rFonts w:ascii="Times New Roman" w:hAnsi="Times New Roman"/>
                <w:sz w:val="19"/>
              </w:rPr>
              <w:t>An app selected to require App Lock authentication.</w:t>
            </w:r>
          </w:p>
        </w:tc>
        <w:tc>
          <w:tcPr>
            <w:tcW w:type="dxa" w:w="3216"/>
            <w:vAlign w:val="top"/>
            <w:tcW w:type="dxa" w:w="3340"/>
          </w:tcPr>
          <w:p>
            <w:pPr>
              <w:spacing w:before="20" w:after="40"/>
            </w:pPr>
            <w:r>
              <w:rPr>
                <w:rFonts w:ascii="Times New Roman" w:hAnsi="Times New Roman"/>
                <w:sz w:val="19"/>
              </w:rPr>
              <w:t>Secured app, encrypted app, blocked app.</w:t>
            </w:r>
          </w:p>
        </w:tc>
      </w:tr>
      <w:tr>
        <w:trPr>
          <w:cantSplit/>
        </w:trPr>
        <w:tc>
          <w:tcPr>
            <w:tcW w:type="dxa" w:w="3216"/>
            <w:vAlign w:val="top"/>
            <w:tcW w:type="dxa" w:w="2630"/>
          </w:tcPr>
          <w:p>
            <w:pPr>
              <w:spacing w:before="20" w:after="40"/>
            </w:pPr>
            <w:r>
              <w:rPr>
                <w:rFonts w:ascii="Times New Roman" w:hAnsi="Times New Roman"/>
                <w:sz w:val="19"/>
              </w:rPr>
              <w:t>PIN</w:t>
            </w:r>
          </w:p>
        </w:tc>
        <w:tc>
          <w:tcPr>
            <w:tcW w:type="dxa" w:w="3216"/>
            <w:vAlign w:val="top"/>
            <w:tcW w:type="dxa" w:w="3270"/>
          </w:tcPr>
          <w:p>
            <w:pPr>
              <w:spacing w:before="20" w:after="40"/>
            </w:pPr>
            <w:r>
              <w:rPr>
                <w:rFonts w:ascii="Times New Roman" w:hAnsi="Times New Roman"/>
                <w:sz w:val="19"/>
              </w:rPr>
              <w:t>The required numeric App Lock credential.</w:t>
            </w:r>
          </w:p>
        </w:tc>
        <w:tc>
          <w:tcPr>
            <w:tcW w:type="dxa" w:w="3216"/>
            <w:vAlign w:val="top"/>
            <w:tcW w:type="dxa" w:w="3340"/>
          </w:tcPr>
          <w:p>
            <w:pPr>
              <w:spacing w:before="20" w:after="40"/>
            </w:pPr>
            <w:r>
              <w:rPr>
                <w:rFonts w:ascii="Times New Roman" w:hAnsi="Times New Roman"/>
                <w:sz w:val="19"/>
              </w:rPr>
              <w:t>Password when referring to the PIN.</w:t>
            </w:r>
          </w:p>
        </w:tc>
      </w:tr>
      <w:tr>
        <w:trPr>
          <w:cantSplit/>
        </w:trPr>
        <w:tc>
          <w:tcPr>
            <w:tcW w:type="dxa" w:w="3216"/>
            <w:vAlign w:val="top"/>
            <w:tcW w:type="dxa" w:w="2630"/>
          </w:tcPr>
          <w:p>
            <w:pPr>
              <w:spacing w:before="20" w:after="40"/>
            </w:pPr>
            <w:r>
              <w:rPr>
                <w:rFonts w:ascii="Times New Roman" w:hAnsi="Times New Roman"/>
                <w:sz w:val="19"/>
              </w:rPr>
              <w:t>Biometrics</w:t>
            </w:r>
          </w:p>
        </w:tc>
        <w:tc>
          <w:tcPr>
            <w:tcW w:type="dxa" w:w="3216"/>
            <w:vAlign w:val="top"/>
            <w:tcW w:type="dxa" w:w="3270"/>
          </w:tcPr>
          <w:p>
            <w:pPr>
              <w:spacing w:before="20" w:after="40"/>
            </w:pPr>
            <w:r>
              <w:rPr>
                <w:rFonts w:ascii="Times New Roman" w:hAnsi="Times New Roman"/>
                <w:sz w:val="19"/>
              </w:rPr>
              <w:t>The Android-approved biometric option.</w:t>
            </w:r>
          </w:p>
        </w:tc>
        <w:tc>
          <w:tcPr>
            <w:tcW w:type="dxa" w:w="3216"/>
            <w:vAlign w:val="top"/>
            <w:tcW w:type="dxa" w:w="3340"/>
          </w:tcPr>
          <w:p>
            <w:pPr>
              <w:spacing w:before="20" w:after="40"/>
            </w:pPr>
            <w:r>
              <w:rPr>
                <w:rFonts w:ascii="Times New Roman" w:hAnsi="Times New Roman"/>
                <w:sz w:val="19"/>
              </w:rPr>
              <w:t>Fingerprint when other eligible modes may apply.</w:t>
            </w:r>
          </w:p>
        </w:tc>
      </w:tr>
      <w:tr>
        <w:trPr>
          <w:cantSplit/>
        </w:trPr>
        <w:tc>
          <w:tcPr>
            <w:tcW w:type="dxa" w:w="3216"/>
            <w:vAlign w:val="top"/>
            <w:tcW w:type="dxa" w:w="2630"/>
          </w:tcPr>
          <w:p>
            <w:pPr>
              <w:spacing w:before="20" w:after="40"/>
            </w:pPr>
            <w:r>
              <w:rPr>
                <w:rFonts w:ascii="Times New Roman" w:hAnsi="Times New Roman"/>
                <w:sz w:val="19"/>
              </w:rPr>
              <w:t>Protection access</w:t>
            </w:r>
          </w:p>
        </w:tc>
        <w:tc>
          <w:tcPr>
            <w:tcW w:type="dxa" w:w="3216"/>
            <w:vAlign w:val="top"/>
            <w:tcW w:type="dxa" w:w="3270"/>
          </w:tcPr>
          <w:p>
            <w:pPr>
              <w:spacing w:before="20" w:after="40"/>
            </w:pPr>
            <w:r>
              <w:rPr>
                <w:rFonts w:ascii="Times New Roman" w:hAnsi="Times New Roman"/>
                <w:sz w:val="19"/>
              </w:rPr>
              <w:t>Required Android capabilities considered together.</w:t>
            </w:r>
          </w:p>
        </w:tc>
        <w:tc>
          <w:tcPr>
            <w:tcW w:type="dxa" w:w="3216"/>
            <w:vAlign w:val="top"/>
            <w:tcW w:type="dxa" w:w="3340"/>
          </w:tcPr>
          <w:p>
            <w:pPr>
              <w:spacing w:before="20" w:after="40"/>
            </w:pPr>
            <w:r>
              <w:rPr>
                <w:rFonts w:ascii="Times New Roman" w:hAnsi="Times New Roman"/>
                <w:sz w:val="19"/>
              </w:rPr>
              <w:t>Full control, surveillance access.</w:t>
            </w:r>
          </w:p>
        </w:tc>
      </w:tr>
      <w:tr>
        <w:trPr>
          <w:cantSplit/>
        </w:trPr>
        <w:tc>
          <w:tcPr>
            <w:tcW w:type="dxa" w:w="3216"/>
            <w:vAlign w:val="top"/>
            <w:tcW w:type="dxa" w:w="2630"/>
          </w:tcPr>
          <w:p>
            <w:pPr>
              <w:spacing w:before="20" w:after="40"/>
            </w:pPr>
            <w:r>
              <w:rPr>
                <w:rFonts w:ascii="Times New Roman" w:hAnsi="Times New Roman"/>
                <w:sz w:val="19"/>
              </w:rPr>
              <w:t>Usage Access</w:t>
            </w:r>
          </w:p>
        </w:tc>
        <w:tc>
          <w:tcPr>
            <w:tcW w:type="dxa" w:w="3216"/>
            <w:vAlign w:val="top"/>
            <w:tcW w:type="dxa" w:w="3270"/>
          </w:tcPr>
          <w:p>
            <w:pPr>
              <w:spacing w:before="20" w:after="40"/>
            </w:pPr>
            <w:r>
              <w:rPr>
                <w:rFonts w:ascii="Times New Roman" w:hAnsi="Times New Roman"/>
                <w:sz w:val="19"/>
              </w:rPr>
              <w:t>The Android setting used to identify foreground applications.</w:t>
            </w:r>
          </w:p>
        </w:tc>
        <w:tc>
          <w:tcPr>
            <w:tcW w:type="dxa" w:w="3216"/>
            <w:vAlign w:val="top"/>
            <w:tcW w:type="dxa" w:w="3340"/>
          </w:tcPr>
          <w:p>
            <w:pPr>
              <w:spacing w:before="20" w:after="40"/>
            </w:pPr>
            <w:r>
              <w:rPr>
                <w:rFonts w:ascii="Times New Roman" w:hAnsi="Times New Roman"/>
                <w:sz w:val="19"/>
              </w:rPr>
              <w:t>Usage permission if Android shows a different label.</w:t>
            </w:r>
          </w:p>
        </w:tc>
      </w:tr>
      <w:tr>
        <w:trPr>
          <w:cantSplit/>
        </w:trPr>
        <w:tc>
          <w:tcPr>
            <w:tcW w:type="dxa" w:w="3216"/>
            <w:vAlign w:val="top"/>
            <w:tcW w:type="dxa" w:w="2630"/>
          </w:tcPr>
          <w:p>
            <w:pPr>
              <w:spacing w:before="20" w:after="40"/>
            </w:pPr>
            <w:r>
              <w:rPr>
                <w:rFonts w:ascii="Times New Roman" w:hAnsi="Times New Roman"/>
                <w:sz w:val="19"/>
              </w:rPr>
              <w:t>Protection interrupted</w:t>
            </w:r>
          </w:p>
        </w:tc>
        <w:tc>
          <w:tcPr>
            <w:tcW w:type="dxa" w:w="3216"/>
            <w:vAlign w:val="top"/>
            <w:tcW w:type="dxa" w:w="3270"/>
          </w:tcPr>
          <w:p>
            <w:pPr>
              <w:spacing w:before="20" w:after="40"/>
            </w:pPr>
            <w:r>
              <w:rPr>
                <w:rFonts w:ascii="Times New Roman" w:hAnsi="Times New Roman"/>
                <w:sz w:val="19"/>
              </w:rPr>
              <w:t>A required capability or enforcement path is unavailable.</w:t>
            </w:r>
          </w:p>
        </w:tc>
        <w:tc>
          <w:tcPr>
            <w:tcW w:type="dxa" w:w="3216"/>
            <w:vAlign w:val="top"/>
            <w:tcW w:type="dxa" w:w="3340"/>
          </w:tcPr>
          <w:p>
            <w:pPr>
              <w:spacing w:before="20" w:after="40"/>
            </w:pPr>
            <w:r>
              <w:rPr>
                <w:rFonts w:ascii="Times New Roman" w:hAnsi="Times New Roman"/>
                <w:sz w:val="19"/>
              </w:rPr>
              <w:t>You are safe, protection is probably working.</w:t>
            </w:r>
          </w:p>
        </w:tc>
      </w:tr>
      <w:tr>
        <w:trPr>
          <w:cantSplit/>
        </w:trPr>
        <w:tc>
          <w:tcPr>
            <w:tcW w:type="dxa" w:w="3216"/>
            <w:vAlign w:val="top"/>
            <w:tcW w:type="dxa" w:w="2630"/>
          </w:tcPr>
          <w:p>
            <w:pPr>
              <w:spacing w:before="20" w:after="40"/>
            </w:pPr>
            <w:r>
              <w:rPr>
                <w:rFonts w:ascii="Times New Roman" w:hAnsi="Times New Roman"/>
                <w:sz w:val="19"/>
              </w:rPr>
              <w:t>Action required</w:t>
            </w:r>
          </w:p>
        </w:tc>
        <w:tc>
          <w:tcPr>
            <w:tcW w:type="dxa" w:w="3216"/>
            <w:vAlign w:val="top"/>
            <w:tcW w:type="dxa" w:w="3270"/>
          </w:tcPr>
          <w:p>
            <w:pPr>
              <w:spacing w:before="20" w:after="40"/>
            </w:pPr>
            <w:r>
              <w:rPr>
                <w:rFonts w:ascii="Times New Roman" w:hAnsi="Times New Roman"/>
                <w:sz w:val="19"/>
              </w:rPr>
              <w:t>A person must complete a specific step.</w:t>
            </w:r>
          </w:p>
        </w:tc>
        <w:tc>
          <w:tcPr>
            <w:tcW w:type="dxa" w:w="3216"/>
            <w:vAlign w:val="top"/>
            <w:tcW w:type="dxa" w:w="3340"/>
          </w:tcPr>
          <w:p>
            <w:pPr>
              <w:spacing w:before="20" w:after="40"/>
            </w:pPr>
            <w:r>
              <w:rPr>
                <w:rFonts w:ascii="Times New Roman" w:hAnsi="Times New Roman"/>
                <w:sz w:val="19"/>
              </w:rPr>
              <w:t>Error when no system fault occurred.</w:t>
            </w:r>
          </w:p>
        </w:tc>
      </w:tr>
      <w:tr>
        <w:trPr>
          <w:cantSplit/>
        </w:trPr>
        <w:tc>
          <w:tcPr>
            <w:tcW w:type="dxa" w:w="3216"/>
            <w:vAlign w:val="top"/>
            <w:tcW w:type="dxa" w:w="2630"/>
          </w:tcPr>
          <w:p>
            <w:pPr>
              <w:spacing w:before="20" w:after="40"/>
            </w:pPr>
            <w:r>
              <w:rPr>
                <w:rFonts w:ascii="Times New Roman" w:hAnsi="Times New Roman"/>
                <w:sz w:val="19"/>
              </w:rPr>
              <w:t>Reset App Lock</w:t>
            </w:r>
          </w:p>
        </w:tc>
        <w:tc>
          <w:tcPr>
            <w:tcW w:type="dxa" w:w="3216"/>
            <w:vAlign w:val="top"/>
            <w:tcW w:type="dxa" w:w="3270"/>
          </w:tcPr>
          <w:p>
            <w:pPr>
              <w:spacing w:before="20" w:after="40"/>
            </w:pPr>
            <w:r>
              <w:rPr>
                <w:rFonts w:ascii="Times New Roman" w:hAnsi="Times New Roman"/>
                <w:sz w:val="19"/>
              </w:rPr>
              <w:t>Destructive removal of local credential and configuration.</w:t>
            </w:r>
          </w:p>
        </w:tc>
        <w:tc>
          <w:tcPr>
            <w:tcW w:type="dxa" w:w="3216"/>
            <w:vAlign w:val="top"/>
            <w:tcW w:type="dxa" w:w="3340"/>
          </w:tcPr>
          <w:p>
            <w:pPr>
              <w:spacing w:before="20" w:after="40"/>
            </w:pPr>
            <w:r>
              <w:rPr>
                <w:rFonts w:ascii="Times New Roman" w:hAnsi="Times New Roman"/>
                <w:sz w:val="19"/>
              </w:rPr>
              <w:t>Recover PIN, restore access, reset PIN.</w:t>
            </w:r>
          </w:p>
        </w:tc>
      </w:tr>
    </w:tbl>
    <w:p>
      <w:pPr>
        <w:pStyle w:val="Heading3"/>
        <w:jc w:val="left"/>
      </w:pPr>
      <w:r>
        <w:t>6.3 Status Copy Pattern</w:t>
      </w:r>
    </w:p>
    <w:p>
      <w:pPr>
        <w:jc w:val="left"/>
      </w:pPr>
      <w:r>
        <w:t>Every persistent status shall contain:</w:t>
      </w:r>
    </w:p>
    <w:p>
      <w:pPr>
        <w:pStyle w:val="ListNumber"/>
        <w:jc w:val="left"/>
      </w:pPr>
      <w:r>
        <w:t>a controlled headline;</w:t>
      </w:r>
    </w:p>
    <w:p>
      <w:pPr>
        <w:pStyle w:val="ListNumber"/>
        <w:jc w:val="left"/>
      </w:pPr>
      <w:r>
        <w:t>a one-sentence consequence;</w:t>
      </w:r>
    </w:p>
    <w:p>
      <w:pPr>
        <w:pStyle w:val="ListNumber"/>
        <w:jc w:val="left"/>
      </w:pPr>
      <w:r>
        <w:t>the affected capability when it can be stated safely;</w:t>
      </w:r>
    </w:p>
    <w:p>
      <w:pPr>
        <w:pStyle w:val="ListNumber"/>
        <w:jc w:val="left"/>
      </w:pPr>
      <w:r>
        <w:t>evidence age when the result can become stale; and</w:t>
      </w:r>
    </w:p>
    <w:p>
      <w:pPr>
        <w:pStyle w:val="ListNumber"/>
        <w:jc w:val="left"/>
      </w:pPr>
      <w:r>
        <w:t>one primary action.</w:t>
      </w:r>
    </w:p>
    <w:p>
      <w:pPr>
        <w:jc w:val="left"/>
      </w:pPr>
      <w:r>
        <w:t>Examples include “Protection interrupted — Usage Access is unavailable, so App Lock cannot reliably identify protected apps. Open Usage Access.” and “Protection not verified — The current protection state could not be confirmed. Check protection.”</w:t>
      </w:r>
    </w:p>
    <w:p>
      <w:pPr>
        <w:pStyle w:val="Heading3"/>
        <w:jc w:val="left"/>
      </w:pPr>
      <w:r>
        <w:t>6.4 Authentication Copy</w:t>
      </w:r>
    </w:p>
    <w:p>
      <w:pPr>
        <w:jc w:val="left"/>
      </w:pPr>
      <w:r>
        <w:t>Use “Incorrect PIN. Try again.” without revealing which digit or rule failed. During retry delay, show the authoritative time remaining or the next permitted attempt time. Biometric cancellation, rejection, unavailability, and lockout shall use different messages and shall always keep “Use PIN” available when authentication is permitted.</w:t>
      </w:r>
    </w:p>
    <w:p>
      <w:pPr>
        <w:pStyle w:val="Heading3"/>
        <w:jc w:val="left"/>
      </w:pPr>
      <w:r>
        <w:t>6.5 Warning Language</w:t>
      </w:r>
    </w:p>
    <w:p>
      <w:pPr>
        <w:jc w:val="left"/>
      </w:pPr>
      <w:r>
        <w:t>Warnings shall state scope and result before the action label. Destructive labels shall name the action: “Remove protection,” “Reset settings,” or “Reset App Lock completely.” Do not use “OK” for a security decision. Do not use “guaranteed,” “unbreakable,” “always protected,” “military-grade,” or claims that App Lock controls Android behavior it cannot control.</w:t>
      </w:r>
    </w:p>
    <w:p>
      <w:pPr>
        <w:pStyle w:val="Heading1"/>
        <w:jc w:val="left"/>
      </w:pPr>
      <w:r>
        <w:t>Part III — User Journeys</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