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A8CC"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Technical Architecture Specification (TAS)</w:t>
      </w:r>
    </w:p>
    <w:p w14:paraId="4CC46783"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Volume III — Engineering, Quality &amp; Governance</w:t>
      </w:r>
    </w:p>
    <w:p w14:paraId="25C3D86B"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Part IX — Appendices</w:t>
      </w:r>
    </w:p>
    <w:p w14:paraId="655253D1"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738AFC0F">
          <v:rect id="_x0000_i1025" style="width:0;height:1.5pt" o:hralign="center" o:hrstd="t" o:hr="t" fillcolor="#a0a0a0" stroked="f"/>
        </w:pict>
      </w:r>
    </w:p>
    <w:p w14:paraId="226655B0"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70. Technology Decisions</w:t>
      </w:r>
    </w:p>
    <w:p w14:paraId="4AF215D5"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70.1 Purpose</w:t>
      </w:r>
    </w:p>
    <w:p w14:paraId="443C5E80" w14:textId="28023209"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appendix documents the major technology decisions adopted for Version 1.0</w:t>
      </w:r>
      <w:r>
        <w:rPr>
          <w:rFonts w:ascii="Times New Roman" w:eastAsia="Times New Roman" w:hAnsi="Times New Roman" w:cs="Times New Roman"/>
          <w:kern w:val="0"/>
          <w14:ligatures w14:val="none"/>
        </w:rPr>
        <w:t>.0</w:t>
      </w:r>
      <w:r w:rsidRPr="003E0EAA">
        <w:rPr>
          <w:rFonts w:ascii="Times New Roman" w:eastAsia="Times New Roman" w:hAnsi="Times New Roman" w:cs="Times New Roman"/>
          <w:kern w:val="0"/>
          <w14:ligatures w14:val="none"/>
        </w:rPr>
        <w:t xml:space="preserve"> of the Android App Lock application. It provides architectural justification for selected technologies and establishes a baseline for future architectural reviews.</w:t>
      </w:r>
    </w:p>
    <w:p w14:paraId="5B023156"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Technology selections shall prioritize security, maintainability, stability, and long-term support over novelty or short-term implementation convenience.</w:t>
      </w:r>
    </w:p>
    <w:p w14:paraId="7E2B8C1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35F4B313">
          <v:rect id="_x0000_i1026" style="width:0;height:1.5pt" o:hralign="center" o:hrstd="t" o:hr="t" fillcolor="#a0a0a0" stroked="f"/>
        </w:pict>
      </w:r>
    </w:p>
    <w:p w14:paraId="67AAB5CF"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70.2 Technology Selection Principles</w:t>
      </w:r>
    </w:p>
    <w:p w14:paraId="1B0DA37D"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Technology adoption shall be guided by the following principles:</w:t>
      </w:r>
    </w:p>
    <w:p w14:paraId="7545AB5A"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Security first </w:t>
      </w:r>
    </w:p>
    <w:p w14:paraId="0CCB9DB3"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Mature ecosystem support </w:t>
      </w:r>
    </w:p>
    <w:p w14:paraId="7A6D9532"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Long-term maintainability </w:t>
      </w:r>
    </w:p>
    <w:p w14:paraId="59018FB5"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Strong documentation </w:t>
      </w:r>
    </w:p>
    <w:p w14:paraId="2BF2E600"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Community and vendor support </w:t>
      </w:r>
    </w:p>
    <w:p w14:paraId="206E6046"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Compatibility with Android platform guidance </w:t>
      </w:r>
    </w:p>
    <w:p w14:paraId="457021D7"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Performance and resource efficiency </w:t>
      </w:r>
    </w:p>
    <w:p w14:paraId="79CF08B9"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Ease of testing and automation </w:t>
      </w:r>
    </w:p>
    <w:p w14:paraId="168E9653" w14:textId="77777777" w:rsidR="003E0EAA" w:rsidRPr="003E0EAA" w:rsidRDefault="003E0EAA" w:rsidP="003E0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Minimal unnecessary dependencies </w:t>
      </w:r>
    </w:p>
    <w:p w14:paraId="77299E0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0786C1D6">
          <v:rect id="_x0000_i1027" style="width:0;height:1.5pt" o:hralign="center" o:hrstd="t" o:hr="t" fillcolor="#a0a0a0" stroked="f"/>
        </w:pict>
      </w:r>
    </w:p>
    <w:p w14:paraId="12A0755F"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70.3 Technology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947"/>
        <w:gridCol w:w="4565"/>
      </w:tblGrid>
      <w:tr w:rsidR="003E0EAA" w:rsidRPr="003E0EAA" w14:paraId="7172E7F3" w14:textId="77777777">
        <w:trPr>
          <w:tblHeader/>
          <w:tblCellSpacing w:w="15" w:type="dxa"/>
        </w:trPr>
        <w:tc>
          <w:tcPr>
            <w:tcW w:w="0" w:type="auto"/>
            <w:vAlign w:val="center"/>
            <w:hideMark/>
          </w:tcPr>
          <w:p w14:paraId="30C376AF"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lastRenderedPageBreak/>
              <w:t>Category</w:t>
            </w:r>
          </w:p>
        </w:tc>
        <w:tc>
          <w:tcPr>
            <w:tcW w:w="0" w:type="auto"/>
            <w:vAlign w:val="center"/>
            <w:hideMark/>
          </w:tcPr>
          <w:p w14:paraId="55ACE1C1"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Selected Technology</w:t>
            </w:r>
          </w:p>
        </w:tc>
        <w:tc>
          <w:tcPr>
            <w:tcW w:w="0" w:type="auto"/>
            <w:vAlign w:val="center"/>
            <w:hideMark/>
          </w:tcPr>
          <w:p w14:paraId="645D7C35"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Rationale</w:t>
            </w:r>
          </w:p>
        </w:tc>
      </w:tr>
      <w:tr w:rsidR="003E0EAA" w:rsidRPr="003E0EAA" w14:paraId="64444534" w14:textId="77777777">
        <w:trPr>
          <w:tblCellSpacing w:w="15" w:type="dxa"/>
        </w:trPr>
        <w:tc>
          <w:tcPr>
            <w:tcW w:w="0" w:type="auto"/>
            <w:vAlign w:val="center"/>
            <w:hideMark/>
          </w:tcPr>
          <w:p w14:paraId="6039484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Programming Language</w:t>
            </w:r>
          </w:p>
        </w:tc>
        <w:tc>
          <w:tcPr>
            <w:tcW w:w="0" w:type="auto"/>
            <w:vAlign w:val="center"/>
            <w:hideMark/>
          </w:tcPr>
          <w:p w14:paraId="1097383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Kotlin</w:t>
            </w:r>
          </w:p>
        </w:tc>
        <w:tc>
          <w:tcPr>
            <w:tcW w:w="0" w:type="auto"/>
            <w:vAlign w:val="center"/>
            <w:hideMark/>
          </w:tcPr>
          <w:p w14:paraId="14538C91"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Official Android language with modern language features and strong tooling support.</w:t>
            </w:r>
          </w:p>
        </w:tc>
      </w:tr>
      <w:tr w:rsidR="003E0EAA" w:rsidRPr="003E0EAA" w14:paraId="40D3032F" w14:textId="77777777">
        <w:trPr>
          <w:tblCellSpacing w:w="15" w:type="dxa"/>
        </w:trPr>
        <w:tc>
          <w:tcPr>
            <w:tcW w:w="0" w:type="auto"/>
            <w:vAlign w:val="center"/>
            <w:hideMark/>
          </w:tcPr>
          <w:p w14:paraId="2A1FD461"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User Interface</w:t>
            </w:r>
          </w:p>
        </w:tc>
        <w:tc>
          <w:tcPr>
            <w:tcW w:w="0" w:type="auto"/>
            <w:vAlign w:val="center"/>
            <w:hideMark/>
          </w:tcPr>
          <w:p w14:paraId="222343B7" w14:textId="00C170E0"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Jetpack </w:t>
            </w:r>
            <w:proofErr w:type="gramStart"/>
            <w:r w:rsidRPr="003E0EAA">
              <w:rPr>
                <w:rFonts w:ascii="Times New Roman" w:eastAsia="Times New Roman" w:hAnsi="Times New Roman" w:cs="Times New Roman"/>
                <w:kern w:val="0"/>
                <w14:ligatures w14:val="none"/>
              </w:rPr>
              <w:t>Compose(</w:t>
            </w:r>
            <w:proofErr w:type="gramEnd"/>
            <w:r w:rsidRPr="003E0EAA">
              <w:rPr>
                <w:rFonts w:ascii="Times New Roman" w:eastAsia="Times New Roman" w:hAnsi="Times New Roman" w:cs="Times New Roman"/>
                <w:kern w:val="0"/>
                <w14:ligatures w14:val="none"/>
              </w:rPr>
              <w:t>or equivalent)</w:t>
            </w:r>
          </w:p>
        </w:tc>
        <w:tc>
          <w:tcPr>
            <w:tcW w:w="0" w:type="auto"/>
            <w:vAlign w:val="center"/>
            <w:hideMark/>
          </w:tcPr>
          <w:p w14:paraId="3DE978F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Declarative UI framework with improved maintainability and state management.</w:t>
            </w:r>
          </w:p>
        </w:tc>
      </w:tr>
      <w:tr w:rsidR="003E0EAA" w:rsidRPr="003E0EAA" w14:paraId="542CF02A" w14:textId="77777777">
        <w:trPr>
          <w:tblCellSpacing w:w="15" w:type="dxa"/>
        </w:trPr>
        <w:tc>
          <w:tcPr>
            <w:tcW w:w="0" w:type="auto"/>
            <w:vAlign w:val="center"/>
            <w:hideMark/>
          </w:tcPr>
          <w:p w14:paraId="7A2DFF48"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Architecture Pattern</w:t>
            </w:r>
          </w:p>
        </w:tc>
        <w:tc>
          <w:tcPr>
            <w:tcW w:w="0" w:type="auto"/>
            <w:vAlign w:val="center"/>
            <w:hideMark/>
          </w:tcPr>
          <w:p w14:paraId="51A76BD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MVVM with Clean Architecture</w:t>
            </w:r>
          </w:p>
        </w:tc>
        <w:tc>
          <w:tcPr>
            <w:tcW w:w="0" w:type="auto"/>
            <w:vAlign w:val="center"/>
            <w:hideMark/>
          </w:tcPr>
          <w:p w14:paraId="1EE1B6C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Promotes separation of concerns and testability.</w:t>
            </w:r>
          </w:p>
        </w:tc>
      </w:tr>
      <w:tr w:rsidR="003E0EAA" w:rsidRPr="003E0EAA" w14:paraId="799AB60B" w14:textId="77777777">
        <w:trPr>
          <w:tblCellSpacing w:w="15" w:type="dxa"/>
        </w:trPr>
        <w:tc>
          <w:tcPr>
            <w:tcW w:w="0" w:type="auto"/>
            <w:vAlign w:val="center"/>
            <w:hideMark/>
          </w:tcPr>
          <w:p w14:paraId="5B06643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Dependency Injection</w:t>
            </w:r>
          </w:p>
        </w:tc>
        <w:tc>
          <w:tcPr>
            <w:tcW w:w="0" w:type="auto"/>
            <w:vAlign w:val="center"/>
            <w:hideMark/>
          </w:tcPr>
          <w:p w14:paraId="1F4017A2" w14:textId="5B4B9992" w:rsidR="003E0EAA" w:rsidRPr="003E0EAA" w:rsidRDefault="003E0EAA" w:rsidP="003E0EAA">
            <w:pPr>
              <w:spacing w:after="0" w:line="240" w:lineRule="auto"/>
              <w:rPr>
                <w:rFonts w:ascii="Times New Roman" w:eastAsia="Times New Roman" w:hAnsi="Times New Roman" w:cs="Times New Roman"/>
                <w:kern w:val="0"/>
                <w14:ligatures w14:val="none"/>
              </w:rPr>
            </w:pPr>
            <w:proofErr w:type="gramStart"/>
            <w:r w:rsidRPr="003E0EAA">
              <w:rPr>
                <w:rFonts w:ascii="Times New Roman" w:eastAsia="Times New Roman" w:hAnsi="Times New Roman" w:cs="Times New Roman"/>
                <w:kern w:val="0"/>
                <w14:ligatures w14:val="none"/>
              </w:rPr>
              <w:t>Hilt(</w:t>
            </w:r>
            <w:proofErr w:type="gramEnd"/>
            <w:r w:rsidRPr="003E0EAA">
              <w:rPr>
                <w:rFonts w:ascii="Times New Roman" w:eastAsia="Times New Roman" w:hAnsi="Times New Roman" w:cs="Times New Roman"/>
                <w:kern w:val="0"/>
                <w14:ligatures w14:val="none"/>
              </w:rPr>
              <w:t>or equivalent)</w:t>
            </w:r>
          </w:p>
        </w:tc>
        <w:tc>
          <w:tcPr>
            <w:tcW w:w="0" w:type="auto"/>
            <w:vAlign w:val="center"/>
            <w:hideMark/>
          </w:tcPr>
          <w:p w14:paraId="78D7606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Official dependency injection framework for Android.</w:t>
            </w:r>
          </w:p>
        </w:tc>
      </w:tr>
      <w:tr w:rsidR="003E0EAA" w:rsidRPr="003E0EAA" w14:paraId="02755C39" w14:textId="77777777">
        <w:trPr>
          <w:tblCellSpacing w:w="15" w:type="dxa"/>
        </w:trPr>
        <w:tc>
          <w:tcPr>
            <w:tcW w:w="0" w:type="auto"/>
            <w:vAlign w:val="center"/>
            <w:hideMark/>
          </w:tcPr>
          <w:p w14:paraId="3F46C7C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Local Database</w:t>
            </w:r>
          </w:p>
        </w:tc>
        <w:tc>
          <w:tcPr>
            <w:tcW w:w="0" w:type="auto"/>
            <w:vAlign w:val="center"/>
            <w:hideMark/>
          </w:tcPr>
          <w:p w14:paraId="196BA412" w14:textId="0097B911" w:rsidR="003E0EAA" w:rsidRPr="003E0EAA" w:rsidRDefault="003E0EAA" w:rsidP="003E0EAA">
            <w:pPr>
              <w:spacing w:after="0" w:line="240" w:lineRule="auto"/>
              <w:rPr>
                <w:rFonts w:ascii="Times New Roman" w:eastAsia="Times New Roman" w:hAnsi="Times New Roman" w:cs="Times New Roman"/>
                <w:kern w:val="0"/>
                <w14:ligatures w14:val="none"/>
              </w:rPr>
            </w:pPr>
            <w:proofErr w:type="gramStart"/>
            <w:r w:rsidRPr="003E0EAA">
              <w:rPr>
                <w:rFonts w:ascii="Times New Roman" w:eastAsia="Times New Roman" w:hAnsi="Times New Roman" w:cs="Times New Roman"/>
                <w:kern w:val="0"/>
                <w14:ligatures w14:val="none"/>
              </w:rPr>
              <w:t>Room(</w:t>
            </w:r>
            <w:proofErr w:type="gramEnd"/>
            <w:r w:rsidRPr="003E0EAA">
              <w:rPr>
                <w:rFonts w:ascii="Times New Roman" w:eastAsia="Times New Roman" w:hAnsi="Times New Roman" w:cs="Times New Roman"/>
                <w:kern w:val="0"/>
                <w14:ligatures w14:val="none"/>
              </w:rPr>
              <w:t>or equivalent)</w:t>
            </w:r>
          </w:p>
        </w:tc>
        <w:tc>
          <w:tcPr>
            <w:tcW w:w="0" w:type="auto"/>
            <w:vAlign w:val="center"/>
            <w:hideMark/>
          </w:tcPr>
          <w:p w14:paraId="5181FA8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Provides type-safe data access, schema validation, and migration support.</w:t>
            </w:r>
          </w:p>
        </w:tc>
      </w:tr>
      <w:tr w:rsidR="003E0EAA" w:rsidRPr="003E0EAA" w14:paraId="3741A75A" w14:textId="77777777">
        <w:trPr>
          <w:tblCellSpacing w:w="15" w:type="dxa"/>
        </w:trPr>
        <w:tc>
          <w:tcPr>
            <w:tcW w:w="0" w:type="auto"/>
            <w:vAlign w:val="center"/>
            <w:hideMark/>
          </w:tcPr>
          <w:p w14:paraId="6B5FB33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Secure Storage</w:t>
            </w:r>
          </w:p>
        </w:tc>
        <w:tc>
          <w:tcPr>
            <w:tcW w:w="0" w:type="auto"/>
            <w:vAlign w:val="center"/>
            <w:hideMark/>
          </w:tcPr>
          <w:p w14:paraId="516C6F19" w14:textId="472C6322"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Android </w:t>
            </w:r>
            <w:proofErr w:type="gramStart"/>
            <w:r w:rsidRPr="003E0EAA">
              <w:rPr>
                <w:rFonts w:ascii="Times New Roman" w:eastAsia="Times New Roman" w:hAnsi="Times New Roman" w:cs="Times New Roman"/>
                <w:kern w:val="0"/>
                <w14:ligatures w14:val="none"/>
              </w:rPr>
              <w:t>Keystore(</w:t>
            </w:r>
            <w:proofErr w:type="gramEnd"/>
            <w:r w:rsidRPr="003E0EAA">
              <w:rPr>
                <w:rFonts w:ascii="Times New Roman" w:eastAsia="Times New Roman" w:hAnsi="Times New Roman" w:cs="Times New Roman"/>
                <w:kern w:val="0"/>
                <w14:ligatures w14:val="none"/>
              </w:rPr>
              <w:t>or equivalent)</w:t>
            </w:r>
          </w:p>
        </w:tc>
        <w:tc>
          <w:tcPr>
            <w:tcW w:w="0" w:type="auto"/>
            <w:vAlign w:val="center"/>
            <w:hideMark/>
          </w:tcPr>
          <w:p w14:paraId="47EF028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Hardware-backed key protection where available.</w:t>
            </w:r>
          </w:p>
        </w:tc>
      </w:tr>
      <w:tr w:rsidR="003E0EAA" w:rsidRPr="003E0EAA" w14:paraId="19DE5BFA" w14:textId="77777777">
        <w:trPr>
          <w:tblCellSpacing w:w="15" w:type="dxa"/>
        </w:trPr>
        <w:tc>
          <w:tcPr>
            <w:tcW w:w="0" w:type="auto"/>
            <w:vAlign w:val="center"/>
            <w:hideMark/>
          </w:tcPr>
          <w:p w14:paraId="6CBDF02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Background Processing</w:t>
            </w:r>
          </w:p>
        </w:tc>
        <w:tc>
          <w:tcPr>
            <w:tcW w:w="0" w:type="auto"/>
            <w:vAlign w:val="center"/>
            <w:hideMark/>
          </w:tcPr>
          <w:p w14:paraId="4DB2D47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proofErr w:type="spellStart"/>
            <w:r w:rsidRPr="003E0EAA">
              <w:rPr>
                <w:rFonts w:ascii="Times New Roman" w:eastAsia="Times New Roman" w:hAnsi="Times New Roman" w:cs="Times New Roman"/>
                <w:kern w:val="0"/>
                <w14:ligatures w14:val="none"/>
              </w:rPr>
              <w:t>WorkManager</w:t>
            </w:r>
            <w:proofErr w:type="spellEnd"/>
          </w:p>
        </w:tc>
        <w:tc>
          <w:tcPr>
            <w:tcW w:w="0" w:type="auto"/>
            <w:vAlign w:val="center"/>
            <w:hideMark/>
          </w:tcPr>
          <w:p w14:paraId="608CEFF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Reliable execution compliant with Android background restrictions.</w:t>
            </w:r>
          </w:p>
        </w:tc>
      </w:tr>
      <w:tr w:rsidR="003E0EAA" w:rsidRPr="003E0EAA" w14:paraId="28177B4D" w14:textId="77777777">
        <w:trPr>
          <w:tblCellSpacing w:w="15" w:type="dxa"/>
        </w:trPr>
        <w:tc>
          <w:tcPr>
            <w:tcW w:w="0" w:type="auto"/>
            <w:vAlign w:val="center"/>
            <w:hideMark/>
          </w:tcPr>
          <w:p w14:paraId="027B54B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Scheduling</w:t>
            </w:r>
          </w:p>
        </w:tc>
        <w:tc>
          <w:tcPr>
            <w:tcW w:w="0" w:type="auto"/>
            <w:vAlign w:val="center"/>
            <w:hideMark/>
          </w:tcPr>
          <w:p w14:paraId="506DFAF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proofErr w:type="spellStart"/>
            <w:r w:rsidRPr="003E0EAA">
              <w:rPr>
                <w:rFonts w:ascii="Times New Roman" w:eastAsia="Times New Roman" w:hAnsi="Times New Roman" w:cs="Times New Roman"/>
                <w:kern w:val="0"/>
                <w14:ligatures w14:val="none"/>
              </w:rPr>
              <w:t>WorkManager</w:t>
            </w:r>
            <w:proofErr w:type="spellEnd"/>
            <w:r w:rsidRPr="003E0EAA">
              <w:rPr>
                <w:rFonts w:ascii="Times New Roman" w:eastAsia="Times New Roman" w:hAnsi="Times New Roman" w:cs="Times New Roman"/>
                <w:kern w:val="0"/>
                <w14:ligatures w14:val="none"/>
              </w:rPr>
              <w:t xml:space="preserve"> / </w:t>
            </w:r>
            <w:proofErr w:type="spellStart"/>
            <w:r w:rsidRPr="003E0EAA">
              <w:rPr>
                <w:rFonts w:ascii="Times New Roman" w:eastAsia="Times New Roman" w:hAnsi="Times New Roman" w:cs="Times New Roman"/>
                <w:kern w:val="0"/>
                <w14:ligatures w14:val="none"/>
              </w:rPr>
              <w:t>AlarmManager</w:t>
            </w:r>
            <w:proofErr w:type="spellEnd"/>
            <w:r w:rsidRPr="003E0EAA">
              <w:rPr>
                <w:rFonts w:ascii="Times New Roman" w:eastAsia="Times New Roman" w:hAnsi="Times New Roman" w:cs="Times New Roman"/>
                <w:kern w:val="0"/>
                <w14:ligatures w14:val="none"/>
              </w:rPr>
              <w:t xml:space="preserve"> (as appropriate)</w:t>
            </w:r>
          </w:p>
        </w:tc>
        <w:tc>
          <w:tcPr>
            <w:tcW w:w="0" w:type="auto"/>
            <w:vAlign w:val="center"/>
            <w:hideMark/>
          </w:tcPr>
          <w:p w14:paraId="26410988"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Supports periodic and time-sensitive tasks.</w:t>
            </w:r>
          </w:p>
        </w:tc>
      </w:tr>
      <w:tr w:rsidR="003E0EAA" w:rsidRPr="003E0EAA" w14:paraId="2A05D4C8" w14:textId="77777777">
        <w:trPr>
          <w:tblCellSpacing w:w="15" w:type="dxa"/>
        </w:trPr>
        <w:tc>
          <w:tcPr>
            <w:tcW w:w="0" w:type="auto"/>
            <w:vAlign w:val="center"/>
            <w:hideMark/>
          </w:tcPr>
          <w:p w14:paraId="27E20B1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Serialization</w:t>
            </w:r>
          </w:p>
        </w:tc>
        <w:tc>
          <w:tcPr>
            <w:tcW w:w="0" w:type="auto"/>
            <w:vAlign w:val="center"/>
            <w:hideMark/>
          </w:tcPr>
          <w:p w14:paraId="25D0748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proofErr w:type="spellStart"/>
            <w:r w:rsidRPr="003E0EAA">
              <w:rPr>
                <w:rFonts w:ascii="Times New Roman" w:eastAsia="Times New Roman" w:hAnsi="Times New Roman" w:cs="Times New Roman"/>
                <w:kern w:val="0"/>
                <w14:ligatures w14:val="none"/>
              </w:rPr>
              <w:t>Kotlinx</w:t>
            </w:r>
            <w:proofErr w:type="spellEnd"/>
            <w:r w:rsidRPr="003E0EAA">
              <w:rPr>
                <w:rFonts w:ascii="Times New Roman" w:eastAsia="Times New Roman" w:hAnsi="Times New Roman" w:cs="Times New Roman"/>
                <w:kern w:val="0"/>
                <w14:ligatures w14:val="none"/>
              </w:rPr>
              <w:t xml:space="preserve"> Serialization</w:t>
            </w:r>
          </w:p>
        </w:tc>
        <w:tc>
          <w:tcPr>
            <w:tcW w:w="0" w:type="auto"/>
            <w:vAlign w:val="center"/>
            <w:hideMark/>
          </w:tcPr>
          <w:p w14:paraId="4914477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Consistent, type-safe serialization.</w:t>
            </w:r>
          </w:p>
        </w:tc>
      </w:tr>
      <w:tr w:rsidR="003E0EAA" w:rsidRPr="003E0EAA" w14:paraId="67FB5563" w14:textId="77777777">
        <w:trPr>
          <w:tblCellSpacing w:w="15" w:type="dxa"/>
        </w:trPr>
        <w:tc>
          <w:tcPr>
            <w:tcW w:w="0" w:type="auto"/>
            <w:vAlign w:val="center"/>
            <w:hideMark/>
          </w:tcPr>
          <w:p w14:paraId="3CC0B381"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Testing</w:t>
            </w:r>
          </w:p>
        </w:tc>
        <w:tc>
          <w:tcPr>
            <w:tcW w:w="0" w:type="auto"/>
            <w:vAlign w:val="center"/>
            <w:hideMark/>
          </w:tcPr>
          <w:p w14:paraId="47B3343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JUnit, Espresso, Mockito (or equivalent)</w:t>
            </w:r>
          </w:p>
        </w:tc>
        <w:tc>
          <w:tcPr>
            <w:tcW w:w="0" w:type="auto"/>
            <w:vAlign w:val="center"/>
            <w:hideMark/>
          </w:tcPr>
          <w:p w14:paraId="40E68EA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Supports unit, integration, and UI testing.</w:t>
            </w:r>
          </w:p>
        </w:tc>
      </w:tr>
      <w:tr w:rsidR="003E0EAA" w:rsidRPr="003E0EAA" w14:paraId="00DA83BD" w14:textId="77777777">
        <w:trPr>
          <w:tblCellSpacing w:w="15" w:type="dxa"/>
        </w:trPr>
        <w:tc>
          <w:tcPr>
            <w:tcW w:w="0" w:type="auto"/>
            <w:vAlign w:val="center"/>
            <w:hideMark/>
          </w:tcPr>
          <w:p w14:paraId="3007A410"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Build System</w:t>
            </w:r>
          </w:p>
        </w:tc>
        <w:tc>
          <w:tcPr>
            <w:tcW w:w="0" w:type="auto"/>
            <w:vAlign w:val="center"/>
            <w:hideMark/>
          </w:tcPr>
          <w:p w14:paraId="302DBF4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Gradle</w:t>
            </w:r>
          </w:p>
        </w:tc>
        <w:tc>
          <w:tcPr>
            <w:tcW w:w="0" w:type="auto"/>
            <w:vAlign w:val="center"/>
            <w:hideMark/>
          </w:tcPr>
          <w:p w14:paraId="660FA28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Official Android build system with strong ecosystem support.</w:t>
            </w:r>
          </w:p>
        </w:tc>
      </w:tr>
    </w:tbl>
    <w:p w14:paraId="59FC9EB5"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Future technology changes shall undergo architecture review before adoption.</w:t>
      </w:r>
    </w:p>
    <w:p w14:paraId="4B6176A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57C6F1BA">
          <v:rect id="_x0000_i1028" style="width:0;height:1.5pt" o:hralign="center" o:hrstd="t" o:hr="t" fillcolor="#a0a0a0" stroked="f"/>
        </w:pict>
      </w:r>
    </w:p>
    <w:p w14:paraId="75127F85"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71. Architecture Decision Records (ADR)</w:t>
      </w:r>
    </w:p>
    <w:p w14:paraId="61B305C1"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71.1 Purpose</w:t>
      </w:r>
    </w:p>
    <w:p w14:paraId="2BF0A172"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Architecture Decision Records (ADRs) document significant architectural decisions, the rationale supporting those decisions, alternatives considered, and the resulting consequences.</w:t>
      </w:r>
    </w:p>
    <w:p w14:paraId="496E4E35"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ADRs provide long-term traceability and preserve architectural knowledge throughout the project lifecycle.</w:t>
      </w:r>
    </w:p>
    <w:p w14:paraId="27BB1F2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06345540">
          <v:rect id="_x0000_i1029" style="width:0;height:1.5pt" o:hralign="center" o:hrstd="t" o:hr="t" fillcolor="#a0a0a0" stroked="f"/>
        </w:pict>
      </w:r>
    </w:p>
    <w:p w14:paraId="50A6AAC1"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71.2 ADR Structure</w:t>
      </w:r>
    </w:p>
    <w:p w14:paraId="24F17F90"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lastRenderedPageBreak/>
        <w:t>Each ADR shall include:</w:t>
      </w:r>
    </w:p>
    <w:p w14:paraId="5FB77BCC"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Decision Identifier </w:t>
      </w:r>
    </w:p>
    <w:p w14:paraId="1D151BB3"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Title </w:t>
      </w:r>
    </w:p>
    <w:p w14:paraId="4DD46CA8"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Status </w:t>
      </w:r>
    </w:p>
    <w:p w14:paraId="69593F92"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Context </w:t>
      </w:r>
    </w:p>
    <w:p w14:paraId="1FE8BC60"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Decision </w:t>
      </w:r>
    </w:p>
    <w:p w14:paraId="3E8F7DC6"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Alternatives Considered </w:t>
      </w:r>
    </w:p>
    <w:p w14:paraId="21D8F909"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Rationale </w:t>
      </w:r>
    </w:p>
    <w:p w14:paraId="1BD69B86"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Consequences </w:t>
      </w:r>
    </w:p>
    <w:p w14:paraId="13192193"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Related Requirements </w:t>
      </w:r>
    </w:p>
    <w:p w14:paraId="49B3C215" w14:textId="77777777" w:rsidR="003E0EAA" w:rsidRPr="003E0EAA" w:rsidRDefault="003E0EAA" w:rsidP="003E0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Approval Information </w:t>
      </w:r>
    </w:p>
    <w:p w14:paraId="10297B9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20B72236">
          <v:rect id="_x0000_i1030" style="width:0;height:1.5pt" o:hralign="center" o:hrstd="t" o:hr="t" fillcolor="#a0a0a0" stroked="f"/>
        </w:pict>
      </w:r>
    </w:p>
    <w:p w14:paraId="22763EA6"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71.3 Initial Architecture Decisions</w:t>
      </w:r>
    </w:p>
    <w:p w14:paraId="2D4E1908"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following decisions establish the architectural baseline for Version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547"/>
      </w:tblGrid>
      <w:tr w:rsidR="003E0EAA" w:rsidRPr="003E0EAA" w14:paraId="3BB4DA7B" w14:textId="77777777">
        <w:trPr>
          <w:tblHeader/>
          <w:tblCellSpacing w:w="15" w:type="dxa"/>
        </w:trPr>
        <w:tc>
          <w:tcPr>
            <w:tcW w:w="0" w:type="auto"/>
            <w:vAlign w:val="center"/>
            <w:hideMark/>
          </w:tcPr>
          <w:p w14:paraId="282320A0"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ADR ID</w:t>
            </w:r>
          </w:p>
        </w:tc>
        <w:tc>
          <w:tcPr>
            <w:tcW w:w="0" w:type="auto"/>
            <w:vAlign w:val="center"/>
            <w:hideMark/>
          </w:tcPr>
          <w:p w14:paraId="66A74FFF"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Decision</w:t>
            </w:r>
          </w:p>
        </w:tc>
      </w:tr>
      <w:tr w:rsidR="003E0EAA" w:rsidRPr="003E0EAA" w14:paraId="037E8B3C" w14:textId="77777777">
        <w:trPr>
          <w:tblCellSpacing w:w="15" w:type="dxa"/>
        </w:trPr>
        <w:tc>
          <w:tcPr>
            <w:tcW w:w="0" w:type="auto"/>
            <w:vAlign w:val="center"/>
            <w:hideMark/>
          </w:tcPr>
          <w:p w14:paraId="242E694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ADR-001</w:t>
            </w:r>
          </w:p>
        </w:tc>
        <w:tc>
          <w:tcPr>
            <w:tcW w:w="0" w:type="auto"/>
            <w:vAlign w:val="center"/>
            <w:hideMark/>
          </w:tcPr>
          <w:p w14:paraId="238A161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Adopt Layered Clean Architecture</w:t>
            </w:r>
          </w:p>
        </w:tc>
      </w:tr>
      <w:tr w:rsidR="003E0EAA" w:rsidRPr="003E0EAA" w14:paraId="3F91AE94" w14:textId="77777777">
        <w:trPr>
          <w:tblCellSpacing w:w="15" w:type="dxa"/>
        </w:trPr>
        <w:tc>
          <w:tcPr>
            <w:tcW w:w="0" w:type="auto"/>
            <w:vAlign w:val="center"/>
            <w:hideMark/>
          </w:tcPr>
          <w:p w14:paraId="28B0419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ADR-002</w:t>
            </w:r>
          </w:p>
        </w:tc>
        <w:tc>
          <w:tcPr>
            <w:tcW w:w="0" w:type="auto"/>
            <w:vAlign w:val="center"/>
            <w:hideMark/>
          </w:tcPr>
          <w:p w14:paraId="0CD0C13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Use MVVM for presentation layer</w:t>
            </w:r>
          </w:p>
        </w:tc>
      </w:tr>
      <w:tr w:rsidR="003E0EAA" w:rsidRPr="003E0EAA" w14:paraId="55C66D32" w14:textId="77777777">
        <w:trPr>
          <w:tblCellSpacing w:w="15" w:type="dxa"/>
        </w:trPr>
        <w:tc>
          <w:tcPr>
            <w:tcW w:w="0" w:type="auto"/>
            <w:vAlign w:val="center"/>
            <w:hideMark/>
          </w:tcPr>
          <w:p w14:paraId="52E33BC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ADR-003</w:t>
            </w:r>
          </w:p>
        </w:tc>
        <w:tc>
          <w:tcPr>
            <w:tcW w:w="0" w:type="auto"/>
            <w:vAlign w:val="center"/>
            <w:hideMark/>
          </w:tcPr>
          <w:p w14:paraId="727A381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Use Repository Pattern for data access</w:t>
            </w:r>
          </w:p>
        </w:tc>
      </w:tr>
      <w:tr w:rsidR="003E0EAA" w:rsidRPr="003E0EAA" w14:paraId="5A03F5A3" w14:textId="77777777">
        <w:trPr>
          <w:tblCellSpacing w:w="15" w:type="dxa"/>
        </w:trPr>
        <w:tc>
          <w:tcPr>
            <w:tcW w:w="0" w:type="auto"/>
            <w:vAlign w:val="center"/>
            <w:hideMark/>
          </w:tcPr>
          <w:p w14:paraId="385802D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ADR-004</w:t>
            </w:r>
          </w:p>
        </w:tc>
        <w:tc>
          <w:tcPr>
            <w:tcW w:w="0" w:type="auto"/>
            <w:vAlign w:val="center"/>
            <w:hideMark/>
          </w:tcPr>
          <w:p w14:paraId="2371A64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Centralize security services</w:t>
            </w:r>
          </w:p>
        </w:tc>
      </w:tr>
      <w:tr w:rsidR="003E0EAA" w:rsidRPr="003E0EAA" w14:paraId="7A8302A9" w14:textId="77777777">
        <w:trPr>
          <w:tblCellSpacing w:w="15" w:type="dxa"/>
        </w:trPr>
        <w:tc>
          <w:tcPr>
            <w:tcW w:w="0" w:type="auto"/>
            <w:vAlign w:val="center"/>
            <w:hideMark/>
          </w:tcPr>
          <w:p w14:paraId="64F348E0"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ADR-005</w:t>
            </w:r>
          </w:p>
        </w:tc>
        <w:tc>
          <w:tcPr>
            <w:tcW w:w="0" w:type="auto"/>
            <w:vAlign w:val="center"/>
            <w:hideMark/>
          </w:tcPr>
          <w:p w14:paraId="643FB155" w14:textId="71EFC831"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Use Android </w:t>
            </w:r>
            <w:proofErr w:type="gramStart"/>
            <w:r w:rsidRPr="003E0EAA">
              <w:rPr>
                <w:rFonts w:ascii="Times New Roman" w:eastAsia="Times New Roman" w:hAnsi="Times New Roman" w:cs="Times New Roman"/>
                <w:kern w:val="0"/>
                <w14:ligatures w14:val="none"/>
              </w:rPr>
              <w:t>Keystore(</w:t>
            </w:r>
            <w:proofErr w:type="gramEnd"/>
            <w:r w:rsidRPr="003E0EAA">
              <w:rPr>
                <w:rFonts w:ascii="Times New Roman" w:eastAsia="Times New Roman" w:hAnsi="Times New Roman" w:cs="Times New Roman"/>
                <w:kern w:val="0"/>
                <w14:ligatures w14:val="none"/>
              </w:rPr>
              <w:t>or equivalent) for cryptographic key storage</w:t>
            </w:r>
          </w:p>
        </w:tc>
      </w:tr>
      <w:tr w:rsidR="003E0EAA" w:rsidRPr="003E0EAA" w14:paraId="1F6BB1CF" w14:textId="77777777">
        <w:trPr>
          <w:tblCellSpacing w:w="15" w:type="dxa"/>
        </w:trPr>
        <w:tc>
          <w:tcPr>
            <w:tcW w:w="0" w:type="auto"/>
            <w:vAlign w:val="center"/>
            <w:hideMark/>
          </w:tcPr>
          <w:p w14:paraId="0F0A061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ADR-006</w:t>
            </w:r>
          </w:p>
        </w:tc>
        <w:tc>
          <w:tcPr>
            <w:tcW w:w="0" w:type="auto"/>
            <w:vAlign w:val="center"/>
            <w:hideMark/>
          </w:tcPr>
          <w:p w14:paraId="0E99054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Adopt </w:t>
            </w:r>
            <w:proofErr w:type="spellStart"/>
            <w:r w:rsidRPr="003E0EAA">
              <w:rPr>
                <w:rFonts w:ascii="Times New Roman" w:eastAsia="Times New Roman" w:hAnsi="Times New Roman" w:cs="Times New Roman"/>
                <w:kern w:val="0"/>
                <w14:ligatures w14:val="none"/>
              </w:rPr>
              <w:t>WorkManager</w:t>
            </w:r>
            <w:proofErr w:type="spellEnd"/>
            <w:r w:rsidRPr="003E0EAA">
              <w:rPr>
                <w:rFonts w:ascii="Times New Roman" w:eastAsia="Times New Roman" w:hAnsi="Times New Roman" w:cs="Times New Roman"/>
                <w:kern w:val="0"/>
                <w14:ligatures w14:val="none"/>
              </w:rPr>
              <w:t xml:space="preserve"> for background processing</w:t>
            </w:r>
          </w:p>
        </w:tc>
      </w:tr>
      <w:tr w:rsidR="003E0EAA" w:rsidRPr="003E0EAA" w14:paraId="01539C61" w14:textId="77777777">
        <w:trPr>
          <w:tblCellSpacing w:w="15" w:type="dxa"/>
        </w:trPr>
        <w:tc>
          <w:tcPr>
            <w:tcW w:w="0" w:type="auto"/>
            <w:vAlign w:val="center"/>
            <w:hideMark/>
          </w:tcPr>
          <w:p w14:paraId="01911D3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ADR-007</w:t>
            </w:r>
          </w:p>
        </w:tc>
        <w:tc>
          <w:tcPr>
            <w:tcW w:w="0" w:type="auto"/>
            <w:vAlign w:val="center"/>
            <w:hideMark/>
          </w:tcPr>
          <w:p w14:paraId="371A26E9" w14:textId="66659283"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Use </w:t>
            </w:r>
            <w:proofErr w:type="gramStart"/>
            <w:r w:rsidRPr="003E0EAA">
              <w:rPr>
                <w:rFonts w:ascii="Times New Roman" w:eastAsia="Times New Roman" w:hAnsi="Times New Roman" w:cs="Times New Roman"/>
                <w:kern w:val="0"/>
                <w14:ligatures w14:val="none"/>
              </w:rPr>
              <w:t>Room(</w:t>
            </w:r>
            <w:proofErr w:type="gramEnd"/>
            <w:r w:rsidRPr="003E0EAA">
              <w:rPr>
                <w:rFonts w:ascii="Times New Roman" w:eastAsia="Times New Roman" w:hAnsi="Times New Roman" w:cs="Times New Roman"/>
                <w:kern w:val="0"/>
                <w14:ligatures w14:val="none"/>
              </w:rPr>
              <w:t>or equivalent) as the primary persistence layer</w:t>
            </w:r>
          </w:p>
        </w:tc>
      </w:tr>
      <w:tr w:rsidR="003E0EAA" w:rsidRPr="003E0EAA" w14:paraId="4EE2A799" w14:textId="77777777">
        <w:trPr>
          <w:tblCellSpacing w:w="15" w:type="dxa"/>
        </w:trPr>
        <w:tc>
          <w:tcPr>
            <w:tcW w:w="0" w:type="auto"/>
            <w:vAlign w:val="center"/>
            <w:hideMark/>
          </w:tcPr>
          <w:p w14:paraId="7FA2EB1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ADR-008</w:t>
            </w:r>
          </w:p>
        </w:tc>
        <w:tc>
          <w:tcPr>
            <w:tcW w:w="0" w:type="auto"/>
            <w:vAlign w:val="center"/>
            <w:hideMark/>
          </w:tcPr>
          <w:p w14:paraId="2822820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Centralize logging and diagnostics</w:t>
            </w:r>
          </w:p>
        </w:tc>
      </w:tr>
      <w:tr w:rsidR="003E0EAA" w:rsidRPr="003E0EAA" w14:paraId="562666A7" w14:textId="77777777">
        <w:trPr>
          <w:tblCellSpacing w:w="15" w:type="dxa"/>
        </w:trPr>
        <w:tc>
          <w:tcPr>
            <w:tcW w:w="0" w:type="auto"/>
            <w:vAlign w:val="center"/>
            <w:hideMark/>
          </w:tcPr>
          <w:p w14:paraId="684471B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ADR-009</w:t>
            </w:r>
          </w:p>
        </w:tc>
        <w:tc>
          <w:tcPr>
            <w:tcW w:w="0" w:type="auto"/>
            <w:vAlign w:val="center"/>
            <w:hideMark/>
          </w:tcPr>
          <w:p w14:paraId="24CC8C1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Enforce dependency injection across application services</w:t>
            </w:r>
          </w:p>
        </w:tc>
      </w:tr>
      <w:tr w:rsidR="003E0EAA" w:rsidRPr="003E0EAA" w14:paraId="4E90D8D5" w14:textId="77777777">
        <w:trPr>
          <w:tblCellSpacing w:w="15" w:type="dxa"/>
        </w:trPr>
        <w:tc>
          <w:tcPr>
            <w:tcW w:w="0" w:type="auto"/>
            <w:vAlign w:val="center"/>
            <w:hideMark/>
          </w:tcPr>
          <w:p w14:paraId="1A3D05E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ADR-010</w:t>
            </w:r>
          </w:p>
        </w:tc>
        <w:tc>
          <w:tcPr>
            <w:tcW w:w="0" w:type="auto"/>
            <w:vAlign w:val="center"/>
            <w:hideMark/>
          </w:tcPr>
          <w:p w14:paraId="32179A8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Require architecture review for major technology changes</w:t>
            </w:r>
          </w:p>
        </w:tc>
      </w:tr>
    </w:tbl>
    <w:p w14:paraId="25DB336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2CA840AB">
          <v:rect id="_x0000_i1031" style="width:0;height:1.5pt" o:hralign="center" o:hrstd="t" o:hr="t" fillcolor="#a0a0a0" stroked="f"/>
        </w:pict>
      </w:r>
    </w:p>
    <w:p w14:paraId="654FCFF5"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72. Traceability to Project Documentation</w:t>
      </w:r>
    </w:p>
    <w:p w14:paraId="41E9C62A"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72.1 Purpose</w:t>
      </w:r>
    </w:p>
    <w:p w14:paraId="40642322"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appendix establishes traceability between the Technical Architecture Specification and the project's companion engineering documents.</w:t>
      </w:r>
    </w:p>
    <w:p w14:paraId="5CA49C1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4DC5ABCC">
          <v:rect id="_x0000_i1032" style="width:0;height:1.5pt" o:hralign="center" o:hrstd="t" o:hr="t" fillcolor="#a0a0a0" stroked="f"/>
        </w:pict>
      </w:r>
    </w:p>
    <w:p w14:paraId="3204851B"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lastRenderedPageBreak/>
        <w:t>72.2 Document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5675"/>
      </w:tblGrid>
      <w:tr w:rsidR="003E0EAA" w:rsidRPr="003E0EAA" w14:paraId="5181ED34" w14:textId="77777777">
        <w:trPr>
          <w:tblHeader/>
          <w:tblCellSpacing w:w="15" w:type="dxa"/>
        </w:trPr>
        <w:tc>
          <w:tcPr>
            <w:tcW w:w="0" w:type="auto"/>
            <w:vAlign w:val="center"/>
            <w:hideMark/>
          </w:tcPr>
          <w:p w14:paraId="72732E7A"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Source Document</w:t>
            </w:r>
          </w:p>
        </w:tc>
        <w:tc>
          <w:tcPr>
            <w:tcW w:w="0" w:type="auto"/>
            <w:vAlign w:val="center"/>
            <w:hideMark/>
          </w:tcPr>
          <w:p w14:paraId="47CAFE13"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Architectural Relationship</w:t>
            </w:r>
          </w:p>
        </w:tc>
      </w:tr>
      <w:tr w:rsidR="003E0EAA" w:rsidRPr="003E0EAA" w14:paraId="68BD4816" w14:textId="77777777">
        <w:trPr>
          <w:tblCellSpacing w:w="15" w:type="dxa"/>
        </w:trPr>
        <w:tc>
          <w:tcPr>
            <w:tcW w:w="0" w:type="auto"/>
            <w:vAlign w:val="center"/>
            <w:hideMark/>
          </w:tcPr>
          <w:p w14:paraId="0075B69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Software Requirements Specification (SRS)</w:t>
            </w:r>
          </w:p>
        </w:tc>
        <w:tc>
          <w:tcPr>
            <w:tcW w:w="0" w:type="auto"/>
            <w:vAlign w:val="center"/>
            <w:hideMark/>
          </w:tcPr>
          <w:p w14:paraId="3EEB6CE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Defines required system capabilities implemented by the architecture.</w:t>
            </w:r>
          </w:p>
        </w:tc>
      </w:tr>
      <w:tr w:rsidR="003E0EAA" w:rsidRPr="003E0EAA" w14:paraId="3BEE6449" w14:textId="77777777">
        <w:trPr>
          <w:tblCellSpacing w:w="15" w:type="dxa"/>
        </w:trPr>
        <w:tc>
          <w:tcPr>
            <w:tcW w:w="0" w:type="auto"/>
            <w:vAlign w:val="center"/>
            <w:hideMark/>
          </w:tcPr>
          <w:p w14:paraId="4083507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Non-Functional Requirements (NFR)</w:t>
            </w:r>
          </w:p>
        </w:tc>
        <w:tc>
          <w:tcPr>
            <w:tcW w:w="0" w:type="auto"/>
            <w:vAlign w:val="center"/>
            <w:hideMark/>
          </w:tcPr>
          <w:p w14:paraId="08B2518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Defines quality attributes realized by architectural decisions.</w:t>
            </w:r>
          </w:p>
        </w:tc>
      </w:tr>
      <w:tr w:rsidR="003E0EAA" w:rsidRPr="003E0EAA" w14:paraId="65D494EB" w14:textId="77777777">
        <w:trPr>
          <w:tblCellSpacing w:w="15" w:type="dxa"/>
        </w:trPr>
        <w:tc>
          <w:tcPr>
            <w:tcW w:w="0" w:type="auto"/>
            <w:vAlign w:val="center"/>
            <w:hideMark/>
          </w:tcPr>
          <w:p w14:paraId="438A1FD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Software Design Specification (SDS)</w:t>
            </w:r>
          </w:p>
        </w:tc>
        <w:tc>
          <w:tcPr>
            <w:tcW w:w="0" w:type="auto"/>
            <w:vAlign w:val="center"/>
            <w:hideMark/>
          </w:tcPr>
          <w:p w14:paraId="24F4FE8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Provides detailed implementation of architectural components.</w:t>
            </w:r>
          </w:p>
        </w:tc>
      </w:tr>
      <w:tr w:rsidR="003E0EAA" w:rsidRPr="003E0EAA" w14:paraId="790ADA4D" w14:textId="77777777">
        <w:trPr>
          <w:tblCellSpacing w:w="15" w:type="dxa"/>
        </w:trPr>
        <w:tc>
          <w:tcPr>
            <w:tcW w:w="0" w:type="auto"/>
            <w:vAlign w:val="center"/>
            <w:hideMark/>
          </w:tcPr>
          <w:p w14:paraId="2761F77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Database Design Specification (DDS)</w:t>
            </w:r>
          </w:p>
        </w:tc>
        <w:tc>
          <w:tcPr>
            <w:tcW w:w="0" w:type="auto"/>
            <w:vAlign w:val="center"/>
            <w:hideMark/>
          </w:tcPr>
          <w:p w14:paraId="745EEF2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Defines physical implementation of the data architecture.</w:t>
            </w:r>
          </w:p>
        </w:tc>
      </w:tr>
      <w:tr w:rsidR="003E0EAA" w:rsidRPr="003E0EAA" w14:paraId="675323E4" w14:textId="77777777">
        <w:trPr>
          <w:tblCellSpacing w:w="15" w:type="dxa"/>
        </w:trPr>
        <w:tc>
          <w:tcPr>
            <w:tcW w:w="0" w:type="auto"/>
            <w:vAlign w:val="center"/>
            <w:hideMark/>
          </w:tcPr>
          <w:p w14:paraId="3065C278"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UI/UX Specification</w:t>
            </w:r>
          </w:p>
        </w:tc>
        <w:tc>
          <w:tcPr>
            <w:tcW w:w="0" w:type="auto"/>
            <w:vAlign w:val="center"/>
            <w:hideMark/>
          </w:tcPr>
          <w:p w14:paraId="4AE2513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Defines presentation behavior within the architectural framework.</w:t>
            </w:r>
          </w:p>
        </w:tc>
      </w:tr>
      <w:tr w:rsidR="003E0EAA" w:rsidRPr="003E0EAA" w14:paraId="7D81022C" w14:textId="77777777">
        <w:trPr>
          <w:tblCellSpacing w:w="15" w:type="dxa"/>
        </w:trPr>
        <w:tc>
          <w:tcPr>
            <w:tcW w:w="0" w:type="auto"/>
            <w:vAlign w:val="center"/>
            <w:hideMark/>
          </w:tcPr>
          <w:p w14:paraId="7B94CB6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Threat Model</w:t>
            </w:r>
          </w:p>
        </w:tc>
        <w:tc>
          <w:tcPr>
            <w:tcW w:w="0" w:type="auto"/>
            <w:vAlign w:val="center"/>
            <w:hideMark/>
          </w:tcPr>
          <w:p w14:paraId="164C05A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Validates security architecture against identified threats.</w:t>
            </w:r>
          </w:p>
        </w:tc>
      </w:tr>
      <w:tr w:rsidR="003E0EAA" w:rsidRPr="003E0EAA" w14:paraId="5D01E868" w14:textId="77777777">
        <w:trPr>
          <w:tblCellSpacing w:w="15" w:type="dxa"/>
        </w:trPr>
        <w:tc>
          <w:tcPr>
            <w:tcW w:w="0" w:type="auto"/>
            <w:vAlign w:val="center"/>
            <w:hideMark/>
          </w:tcPr>
          <w:p w14:paraId="593D488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Secure Coding Standard</w:t>
            </w:r>
          </w:p>
        </w:tc>
        <w:tc>
          <w:tcPr>
            <w:tcW w:w="0" w:type="auto"/>
            <w:vAlign w:val="center"/>
            <w:hideMark/>
          </w:tcPr>
          <w:p w14:paraId="1F13FDF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Governs implementation practices for architectural components.</w:t>
            </w:r>
          </w:p>
        </w:tc>
      </w:tr>
      <w:tr w:rsidR="003E0EAA" w:rsidRPr="003E0EAA" w14:paraId="21D64340" w14:textId="77777777">
        <w:trPr>
          <w:tblCellSpacing w:w="15" w:type="dxa"/>
        </w:trPr>
        <w:tc>
          <w:tcPr>
            <w:tcW w:w="0" w:type="auto"/>
            <w:vAlign w:val="center"/>
            <w:hideMark/>
          </w:tcPr>
          <w:p w14:paraId="2D3DC02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Test Specification</w:t>
            </w:r>
          </w:p>
        </w:tc>
        <w:tc>
          <w:tcPr>
            <w:tcW w:w="0" w:type="auto"/>
            <w:vAlign w:val="center"/>
            <w:hideMark/>
          </w:tcPr>
          <w:p w14:paraId="3501D1B1"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Verifies architectural compliance through testing.</w:t>
            </w:r>
          </w:p>
        </w:tc>
      </w:tr>
      <w:tr w:rsidR="003E0EAA" w:rsidRPr="003E0EAA" w14:paraId="7CF38289" w14:textId="77777777">
        <w:trPr>
          <w:tblCellSpacing w:w="15" w:type="dxa"/>
        </w:trPr>
        <w:tc>
          <w:tcPr>
            <w:tcW w:w="0" w:type="auto"/>
            <w:vAlign w:val="center"/>
            <w:hideMark/>
          </w:tcPr>
          <w:p w14:paraId="33DEC0D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Deployment &amp; Operations Guide</w:t>
            </w:r>
          </w:p>
        </w:tc>
        <w:tc>
          <w:tcPr>
            <w:tcW w:w="0" w:type="auto"/>
            <w:vAlign w:val="center"/>
            <w:hideMark/>
          </w:tcPr>
          <w:p w14:paraId="0398189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Describes operational use of the architecture.</w:t>
            </w:r>
          </w:p>
        </w:tc>
      </w:tr>
      <w:tr w:rsidR="003E0EAA" w:rsidRPr="003E0EAA" w14:paraId="65719C3E" w14:textId="77777777">
        <w:trPr>
          <w:tblCellSpacing w:w="15" w:type="dxa"/>
        </w:trPr>
        <w:tc>
          <w:tcPr>
            <w:tcW w:w="0" w:type="auto"/>
            <w:vAlign w:val="center"/>
            <w:hideMark/>
          </w:tcPr>
          <w:p w14:paraId="24E3B86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Requirements Traceability Matrix (RTM)</w:t>
            </w:r>
          </w:p>
        </w:tc>
        <w:tc>
          <w:tcPr>
            <w:tcW w:w="0" w:type="auto"/>
            <w:vAlign w:val="center"/>
            <w:hideMark/>
          </w:tcPr>
          <w:p w14:paraId="4F254FC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Links requirements to architecture, implementation, and verification.</w:t>
            </w:r>
          </w:p>
        </w:tc>
      </w:tr>
    </w:tbl>
    <w:p w14:paraId="5283DD66"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335C9C7C">
          <v:rect id="_x0000_i1033" style="width:0;height:1.5pt" o:hralign="center" o:hrstd="t" o:hr="t" fillcolor="#a0a0a0" stroked="f"/>
        </w:pict>
      </w:r>
    </w:p>
    <w:p w14:paraId="27D17AF5"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72.3 Requirement Traceability</w:t>
      </w:r>
    </w:p>
    <w:p w14:paraId="2A66C7DF"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Each architectural component shall be traceable to one or more:</w:t>
      </w:r>
    </w:p>
    <w:p w14:paraId="440E78B3"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Functional Requirements (FR) </w:t>
      </w:r>
    </w:p>
    <w:p w14:paraId="7A3937D3"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Non-Functional Requirements (NFR) </w:t>
      </w:r>
    </w:p>
    <w:p w14:paraId="001FA0D4"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Architecture Decision Records (ADR) </w:t>
      </w:r>
    </w:p>
    <w:p w14:paraId="58698C34"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Software Design Specification components </w:t>
      </w:r>
    </w:p>
    <w:p w14:paraId="643480A8"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Test cases </w:t>
      </w:r>
    </w:p>
    <w:p w14:paraId="4D38861F" w14:textId="77777777" w:rsidR="003E0EAA" w:rsidRPr="003E0EAA" w:rsidRDefault="003E0EAA" w:rsidP="003E0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Verification evidence </w:t>
      </w:r>
    </w:p>
    <w:p w14:paraId="5F69F20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02EBFFB1">
          <v:rect id="_x0000_i1034" style="width:0;height:1.5pt" o:hralign="center" o:hrstd="t" o:hr="t" fillcolor="#a0a0a0" stroked="f"/>
        </w:pict>
      </w:r>
    </w:p>
    <w:p w14:paraId="7E77F3ED"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73. Architecture Glossary</w:t>
      </w:r>
    </w:p>
    <w:p w14:paraId="5AD5BA11"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73.1 Purpose</w:t>
      </w:r>
    </w:p>
    <w:p w14:paraId="544FF877"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glossary defines architectural terminology used throughout the Technical Architecture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6794"/>
      </w:tblGrid>
      <w:tr w:rsidR="003E0EAA" w:rsidRPr="003E0EAA" w14:paraId="249614E6" w14:textId="77777777">
        <w:trPr>
          <w:tblHeader/>
          <w:tblCellSpacing w:w="15" w:type="dxa"/>
        </w:trPr>
        <w:tc>
          <w:tcPr>
            <w:tcW w:w="0" w:type="auto"/>
            <w:vAlign w:val="center"/>
            <w:hideMark/>
          </w:tcPr>
          <w:p w14:paraId="1AFBC25A"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lastRenderedPageBreak/>
              <w:t>Term</w:t>
            </w:r>
          </w:p>
        </w:tc>
        <w:tc>
          <w:tcPr>
            <w:tcW w:w="0" w:type="auto"/>
            <w:vAlign w:val="center"/>
            <w:hideMark/>
          </w:tcPr>
          <w:p w14:paraId="475BB75C" w14:textId="77777777" w:rsidR="003E0EAA" w:rsidRPr="003E0EAA" w:rsidRDefault="003E0EAA" w:rsidP="003E0EAA">
            <w:pPr>
              <w:spacing w:after="0" w:line="240" w:lineRule="auto"/>
              <w:jc w:val="center"/>
              <w:rPr>
                <w:rFonts w:ascii="Times New Roman" w:eastAsia="Times New Roman" w:hAnsi="Times New Roman" w:cs="Times New Roman"/>
                <w:b/>
                <w:bCs/>
                <w:kern w:val="0"/>
                <w14:ligatures w14:val="none"/>
              </w:rPr>
            </w:pPr>
            <w:r w:rsidRPr="003E0EAA">
              <w:rPr>
                <w:rFonts w:ascii="Times New Roman" w:eastAsia="Times New Roman" w:hAnsi="Times New Roman" w:cs="Times New Roman"/>
                <w:b/>
                <w:bCs/>
                <w:kern w:val="0"/>
                <w14:ligatures w14:val="none"/>
              </w:rPr>
              <w:t>Definition</w:t>
            </w:r>
          </w:p>
        </w:tc>
      </w:tr>
      <w:tr w:rsidR="003E0EAA" w:rsidRPr="003E0EAA" w14:paraId="4DB60190" w14:textId="77777777">
        <w:trPr>
          <w:tblCellSpacing w:w="15" w:type="dxa"/>
        </w:trPr>
        <w:tc>
          <w:tcPr>
            <w:tcW w:w="0" w:type="auto"/>
            <w:vAlign w:val="center"/>
            <w:hideMark/>
          </w:tcPr>
          <w:p w14:paraId="2CAC722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Architecture</w:t>
            </w:r>
          </w:p>
        </w:tc>
        <w:tc>
          <w:tcPr>
            <w:tcW w:w="0" w:type="auto"/>
            <w:vAlign w:val="center"/>
            <w:hideMark/>
          </w:tcPr>
          <w:p w14:paraId="6EA5122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fundamental organization of the software system, including its components, relationships, and governing principles.</w:t>
            </w:r>
          </w:p>
        </w:tc>
      </w:tr>
      <w:tr w:rsidR="003E0EAA" w:rsidRPr="003E0EAA" w14:paraId="29060360" w14:textId="77777777">
        <w:trPr>
          <w:tblCellSpacing w:w="15" w:type="dxa"/>
        </w:trPr>
        <w:tc>
          <w:tcPr>
            <w:tcW w:w="0" w:type="auto"/>
            <w:vAlign w:val="center"/>
            <w:hideMark/>
          </w:tcPr>
          <w:p w14:paraId="5A66CF5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Component</w:t>
            </w:r>
          </w:p>
        </w:tc>
        <w:tc>
          <w:tcPr>
            <w:tcW w:w="0" w:type="auto"/>
            <w:vAlign w:val="center"/>
            <w:hideMark/>
          </w:tcPr>
          <w:p w14:paraId="352D619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modular unit with defined responsibilities and interfaces.</w:t>
            </w:r>
          </w:p>
        </w:tc>
      </w:tr>
      <w:tr w:rsidR="003E0EAA" w:rsidRPr="003E0EAA" w14:paraId="5D974EDF" w14:textId="77777777">
        <w:trPr>
          <w:tblCellSpacing w:w="15" w:type="dxa"/>
        </w:trPr>
        <w:tc>
          <w:tcPr>
            <w:tcW w:w="0" w:type="auto"/>
            <w:vAlign w:val="center"/>
            <w:hideMark/>
          </w:tcPr>
          <w:p w14:paraId="66BC36B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Service</w:t>
            </w:r>
          </w:p>
        </w:tc>
        <w:tc>
          <w:tcPr>
            <w:tcW w:w="0" w:type="auto"/>
            <w:vAlign w:val="center"/>
            <w:hideMark/>
          </w:tcPr>
          <w:p w14:paraId="5D8BF73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reusable architectural capability consumed by other components.</w:t>
            </w:r>
          </w:p>
        </w:tc>
      </w:tr>
      <w:tr w:rsidR="003E0EAA" w:rsidRPr="003E0EAA" w14:paraId="31FAB4A2" w14:textId="77777777">
        <w:trPr>
          <w:tblCellSpacing w:w="15" w:type="dxa"/>
        </w:trPr>
        <w:tc>
          <w:tcPr>
            <w:tcW w:w="0" w:type="auto"/>
            <w:vAlign w:val="center"/>
            <w:hideMark/>
          </w:tcPr>
          <w:p w14:paraId="10B997B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Layer</w:t>
            </w:r>
          </w:p>
        </w:tc>
        <w:tc>
          <w:tcPr>
            <w:tcW w:w="0" w:type="auto"/>
            <w:vAlign w:val="center"/>
            <w:hideMark/>
          </w:tcPr>
          <w:p w14:paraId="3AFDB44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logical grouping of components with common responsibilities.</w:t>
            </w:r>
          </w:p>
        </w:tc>
      </w:tr>
      <w:tr w:rsidR="003E0EAA" w:rsidRPr="003E0EAA" w14:paraId="604D6ED4" w14:textId="77777777">
        <w:trPr>
          <w:tblCellSpacing w:w="15" w:type="dxa"/>
        </w:trPr>
        <w:tc>
          <w:tcPr>
            <w:tcW w:w="0" w:type="auto"/>
            <w:vAlign w:val="center"/>
            <w:hideMark/>
          </w:tcPr>
          <w:p w14:paraId="79F0695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Repository</w:t>
            </w:r>
          </w:p>
        </w:tc>
        <w:tc>
          <w:tcPr>
            <w:tcW w:w="0" w:type="auto"/>
            <w:vAlign w:val="center"/>
            <w:hideMark/>
          </w:tcPr>
          <w:p w14:paraId="17061B2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An abstraction that isolates business logic from persistence mechanisms.</w:t>
            </w:r>
          </w:p>
        </w:tc>
      </w:tr>
      <w:tr w:rsidR="003E0EAA" w:rsidRPr="003E0EAA" w14:paraId="4D45B438" w14:textId="77777777">
        <w:trPr>
          <w:tblCellSpacing w:w="15" w:type="dxa"/>
        </w:trPr>
        <w:tc>
          <w:tcPr>
            <w:tcW w:w="0" w:type="auto"/>
            <w:vAlign w:val="center"/>
            <w:hideMark/>
          </w:tcPr>
          <w:p w14:paraId="15A1A0E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Dependency Injection</w:t>
            </w:r>
          </w:p>
        </w:tc>
        <w:tc>
          <w:tcPr>
            <w:tcW w:w="0" w:type="auto"/>
            <w:vAlign w:val="center"/>
            <w:hideMark/>
          </w:tcPr>
          <w:p w14:paraId="74A73268"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design technique for supplying component dependencies externally rather than constructing them internally.</w:t>
            </w:r>
          </w:p>
        </w:tc>
      </w:tr>
      <w:tr w:rsidR="003E0EAA" w:rsidRPr="003E0EAA" w14:paraId="39FA7F78" w14:textId="77777777">
        <w:trPr>
          <w:tblCellSpacing w:w="15" w:type="dxa"/>
        </w:trPr>
        <w:tc>
          <w:tcPr>
            <w:tcW w:w="0" w:type="auto"/>
            <w:vAlign w:val="center"/>
            <w:hideMark/>
          </w:tcPr>
          <w:p w14:paraId="061FACA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Trust Boundary</w:t>
            </w:r>
          </w:p>
        </w:tc>
        <w:tc>
          <w:tcPr>
            <w:tcW w:w="0" w:type="auto"/>
            <w:vAlign w:val="center"/>
            <w:hideMark/>
          </w:tcPr>
          <w:p w14:paraId="083024A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point where information moves between components with different security assumptions.</w:t>
            </w:r>
          </w:p>
        </w:tc>
      </w:tr>
      <w:tr w:rsidR="003E0EAA" w:rsidRPr="003E0EAA" w14:paraId="069E356C" w14:textId="77777777">
        <w:trPr>
          <w:tblCellSpacing w:w="15" w:type="dxa"/>
        </w:trPr>
        <w:tc>
          <w:tcPr>
            <w:tcW w:w="0" w:type="auto"/>
            <w:vAlign w:val="center"/>
            <w:hideMark/>
          </w:tcPr>
          <w:p w14:paraId="59F8FAE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Runtime</w:t>
            </w:r>
          </w:p>
        </w:tc>
        <w:tc>
          <w:tcPr>
            <w:tcW w:w="0" w:type="auto"/>
            <w:vAlign w:val="center"/>
            <w:hideMark/>
          </w:tcPr>
          <w:p w14:paraId="3FBE67B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execution environment of the application.</w:t>
            </w:r>
          </w:p>
        </w:tc>
      </w:tr>
      <w:tr w:rsidR="003E0EAA" w:rsidRPr="003E0EAA" w14:paraId="5EEC17AD" w14:textId="77777777">
        <w:trPr>
          <w:tblCellSpacing w:w="15" w:type="dxa"/>
        </w:trPr>
        <w:tc>
          <w:tcPr>
            <w:tcW w:w="0" w:type="auto"/>
            <w:vAlign w:val="center"/>
            <w:hideMark/>
          </w:tcPr>
          <w:p w14:paraId="7E74247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Observability</w:t>
            </w:r>
          </w:p>
        </w:tc>
        <w:tc>
          <w:tcPr>
            <w:tcW w:w="0" w:type="auto"/>
            <w:vAlign w:val="center"/>
            <w:hideMark/>
          </w:tcPr>
          <w:p w14:paraId="48A78D7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ability to understand system behavior through logs, metrics, diagnostics, and health information.</w:t>
            </w:r>
          </w:p>
        </w:tc>
      </w:tr>
      <w:tr w:rsidR="003E0EAA" w:rsidRPr="003E0EAA" w14:paraId="08CD4991" w14:textId="77777777">
        <w:trPr>
          <w:tblCellSpacing w:w="15" w:type="dxa"/>
        </w:trPr>
        <w:tc>
          <w:tcPr>
            <w:tcW w:w="0" w:type="auto"/>
            <w:vAlign w:val="center"/>
            <w:hideMark/>
          </w:tcPr>
          <w:p w14:paraId="2255402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Recovery</w:t>
            </w:r>
          </w:p>
        </w:tc>
        <w:tc>
          <w:tcPr>
            <w:tcW w:w="0" w:type="auto"/>
            <w:vAlign w:val="center"/>
            <w:hideMark/>
          </w:tcPr>
          <w:p w14:paraId="3B8C19F9"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process of restoring a valid operational state following a failure.</w:t>
            </w:r>
          </w:p>
        </w:tc>
      </w:tr>
      <w:tr w:rsidR="003E0EAA" w:rsidRPr="003E0EAA" w14:paraId="5B1DC3DD" w14:textId="77777777">
        <w:trPr>
          <w:tblCellSpacing w:w="15" w:type="dxa"/>
        </w:trPr>
        <w:tc>
          <w:tcPr>
            <w:tcW w:w="0" w:type="auto"/>
            <w:vAlign w:val="center"/>
            <w:hideMark/>
          </w:tcPr>
          <w:p w14:paraId="468BE690"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Architecture Decision Record (ADR)</w:t>
            </w:r>
          </w:p>
        </w:tc>
        <w:tc>
          <w:tcPr>
            <w:tcW w:w="0" w:type="auto"/>
            <w:vAlign w:val="center"/>
            <w:hideMark/>
          </w:tcPr>
          <w:p w14:paraId="00190692"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documented record explaining a significant architectural decision.</w:t>
            </w:r>
          </w:p>
        </w:tc>
      </w:tr>
      <w:tr w:rsidR="003E0EAA" w:rsidRPr="003E0EAA" w14:paraId="1DEDF44B" w14:textId="77777777">
        <w:trPr>
          <w:tblCellSpacing w:w="15" w:type="dxa"/>
        </w:trPr>
        <w:tc>
          <w:tcPr>
            <w:tcW w:w="0" w:type="auto"/>
            <w:vAlign w:val="center"/>
            <w:hideMark/>
          </w:tcPr>
          <w:p w14:paraId="1FEFD14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Quality Attribute</w:t>
            </w:r>
          </w:p>
        </w:tc>
        <w:tc>
          <w:tcPr>
            <w:tcW w:w="0" w:type="auto"/>
            <w:vAlign w:val="center"/>
            <w:hideMark/>
          </w:tcPr>
          <w:p w14:paraId="4E3D3A2F"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 measurable characteristic such as performance, reliability, maintainability, or security.</w:t>
            </w:r>
          </w:p>
        </w:tc>
      </w:tr>
      <w:tr w:rsidR="003E0EAA" w:rsidRPr="003E0EAA" w14:paraId="5C28E712" w14:textId="77777777">
        <w:trPr>
          <w:tblCellSpacing w:w="15" w:type="dxa"/>
        </w:trPr>
        <w:tc>
          <w:tcPr>
            <w:tcW w:w="0" w:type="auto"/>
            <w:vAlign w:val="center"/>
            <w:hideMark/>
          </w:tcPr>
          <w:p w14:paraId="4CC1A535"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Conformance</w:t>
            </w:r>
          </w:p>
        </w:tc>
        <w:tc>
          <w:tcPr>
            <w:tcW w:w="0" w:type="auto"/>
            <w:vAlign w:val="center"/>
            <w:hideMark/>
          </w:tcPr>
          <w:p w14:paraId="3BEBB26E"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degree to which the implementation follows the approved architecture.</w:t>
            </w:r>
          </w:p>
        </w:tc>
      </w:tr>
    </w:tbl>
    <w:p w14:paraId="283597D3"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32BCD715">
          <v:rect id="_x0000_i1035" style="width:0;height:1.5pt" o:hralign="center" o:hrstd="t" o:hr="t" fillcolor="#a0a0a0" stroked="f"/>
        </w:pict>
      </w:r>
    </w:p>
    <w:p w14:paraId="2B0E3DEA"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74. Future Architectural Evolution</w:t>
      </w:r>
    </w:p>
    <w:p w14:paraId="5C69FFB1"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74.1 Purpose</w:t>
      </w:r>
    </w:p>
    <w:p w14:paraId="6983004A"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section identifies architectural extension points that may support future versions of the application. It does not define future functional requirements or commit the project to specific enhancements.</w:t>
      </w:r>
    </w:p>
    <w:p w14:paraId="61AF12AA"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119419CD">
          <v:rect id="_x0000_i1036" style="width:0;height:1.5pt" o:hralign="center" o:hrstd="t" o:hr="t" fillcolor="#a0a0a0" stroked="f"/>
        </w:pict>
      </w:r>
    </w:p>
    <w:p w14:paraId="146BE04C"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74.2 Extension Principles</w:t>
      </w:r>
    </w:p>
    <w:p w14:paraId="0988839A"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Future architectural changes shall:</w:t>
      </w:r>
    </w:p>
    <w:p w14:paraId="552D6311"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Preserve backward compatibility where practical </w:t>
      </w:r>
    </w:p>
    <w:p w14:paraId="493E5EE3"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Maintain modularity </w:t>
      </w:r>
    </w:p>
    <w:p w14:paraId="78CB10E4"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Minimize architectural disruption </w:t>
      </w:r>
    </w:p>
    <w:p w14:paraId="2153E049"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lastRenderedPageBreak/>
        <w:t xml:space="preserve">Preserve documented interfaces </w:t>
      </w:r>
    </w:p>
    <w:p w14:paraId="29D001E6"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Undergo formal architecture review </w:t>
      </w:r>
    </w:p>
    <w:p w14:paraId="2BE5A2EE" w14:textId="77777777" w:rsidR="003E0EAA" w:rsidRPr="003E0EAA" w:rsidRDefault="003E0EAA" w:rsidP="003E0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Update affected documentation </w:t>
      </w:r>
    </w:p>
    <w:p w14:paraId="23A85E27"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79AE776E">
          <v:rect id="_x0000_i1037" style="width:0;height:1.5pt" o:hralign="center" o:hrstd="t" o:hr="t" fillcolor="#a0a0a0" stroked="f"/>
        </w:pict>
      </w:r>
    </w:p>
    <w:p w14:paraId="0D30C1E8"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74.3 Candidate Extension Areas</w:t>
      </w:r>
    </w:p>
    <w:p w14:paraId="228B9C8D"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Potential areas for future architectural evolution include:</w:t>
      </w:r>
    </w:p>
    <w:p w14:paraId="61019AB2"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Secure cloud synchronization </w:t>
      </w:r>
    </w:p>
    <w:p w14:paraId="159897D3"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Multi-device support </w:t>
      </w:r>
    </w:p>
    <w:p w14:paraId="1A05487B"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Enterprise policy management </w:t>
      </w:r>
    </w:p>
    <w:p w14:paraId="57BA4D74"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Administrative dashboards </w:t>
      </w:r>
    </w:p>
    <w:p w14:paraId="213A52E1"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Pluggable authentication providers </w:t>
      </w:r>
    </w:p>
    <w:p w14:paraId="558A3F41"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Cross-platform companion applications </w:t>
      </w:r>
    </w:p>
    <w:p w14:paraId="33A97F53"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Remote configuration services </w:t>
      </w:r>
    </w:p>
    <w:p w14:paraId="08865D69" w14:textId="77777777" w:rsidR="003E0EAA" w:rsidRPr="003E0EAA" w:rsidRDefault="003E0EAA" w:rsidP="003E0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Enhanced analytics and telemetry </w:t>
      </w:r>
    </w:p>
    <w:p w14:paraId="25BA38D9"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Any future capability shall be evaluated against the established architectural principles and quality objectives before adoption.</w:t>
      </w:r>
    </w:p>
    <w:p w14:paraId="74239D0B"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3528AC60">
          <v:rect id="_x0000_i1038" style="width:0;height:1.5pt" o:hralign="center" o:hrstd="t" o:hr="t" fillcolor="#a0a0a0" stroked="f"/>
        </w:pict>
      </w:r>
    </w:p>
    <w:p w14:paraId="154CA263"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75. Conclusion</w:t>
      </w:r>
    </w:p>
    <w:p w14:paraId="37FE7F51"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75.1 Summary</w:t>
      </w:r>
    </w:p>
    <w:p w14:paraId="3967079D"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Technical Architecture Specification defines the architectural foundation for the Android App Lock application. It translates the functional requirements defined in the SRS and the quality objectives defined in the NFR into a cohesive architectural framework that emphasizes security, maintainability, scalability, reliability, and operational excellence.</w:t>
      </w:r>
    </w:p>
    <w:p w14:paraId="409BECEC"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architecture adopts a layered, modular, and service-oriented approach with clearly defined responsibilities, interfaces, trust boundaries, and governance processes. This structure supports disciplined implementation, comprehensive testing, and long-term evolution while minimizing architectural ambiguity.</w:t>
      </w:r>
    </w:p>
    <w:p w14:paraId="38DD003D"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7469AAA0">
          <v:rect id="_x0000_i1039" style="width:0;height:1.5pt" o:hralign="center" o:hrstd="t" o:hr="t" fillcolor="#a0a0a0" stroked="f"/>
        </w:pict>
      </w:r>
    </w:p>
    <w:p w14:paraId="115EEA39"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75.2 Architecture Governance</w:t>
      </w:r>
    </w:p>
    <w:p w14:paraId="014C39D1"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approved architecture shall serve as the authoritative technical baseline for the project.</w:t>
      </w:r>
    </w:p>
    <w:p w14:paraId="6452C7BD"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lastRenderedPageBreak/>
        <w:t>Changes affecting architectural structure, security boundaries, technology selections, or quality attributes shall:</w:t>
      </w:r>
    </w:p>
    <w:p w14:paraId="56C57C12" w14:textId="77777777" w:rsidR="003E0EAA" w:rsidRPr="003E0EAA" w:rsidRDefault="003E0EAA" w:rsidP="003E0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Be documented through an Architecture Decision Record (ADR) </w:t>
      </w:r>
    </w:p>
    <w:p w14:paraId="71359EBF" w14:textId="77777777" w:rsidR="003E0EAA" w:rsidRPr="003E0EAA" w:rsidRDefault="003E0EAA" w:rsidP="003E0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Undergo architecture review </w:t>
      </w:r>
    </w:p>
    <w:p w14:paraId="3117E7EB" w14:textId="77777777" w:rsidR="003E0EAA" w:rsidRPr="003E0EAA" w:rsidRDefault="003E0EAA" w:rsidP="003E0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Be evaluated for impact on SRS and NFR compliance </w:t>
      </w:r>
    </w:p>
    <w:p w14:paraId="7D28F6D0" w14:textId="77777777" w:rsidR="003E0EAA" w:rsidRPr="003E0EAA" w:rsidRDefault="003E0EAA" w:rsidP="003E0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 xml:space="preserve">Update affected specifications </w:t>
      </w:r>
    </w:p>
    <w:p w14:paraId="13B2A94C"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14C3AE78">
          <v:rect id="_x0000_i1040" style="width:0;height:1.5pt" o:hralign="center" o:hrstd="t" o:hr="t" fillcolor="#a0a0a0" stroked="f"/>
        </w:pict>
      </w:r>
    </w:p>
    <w:p w14:paraId="481589CC" w14:textId="77777777" w:rsidR="003E0EAA" w:rsidRPr="003E0EAA" w:rsidRDefault="003E0EAA" w:rsidP="003E0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EAA">
        <w:rPr>
          <w:rFonts w:ascii="Times New Roman" w:eastAsia="Times New Roman" w:hAnsi="Times New Roman" w:cs="Times New Roman"/>
          <w:b/>
          <w:bCs/>
          <w:kern w:val="0"/>
          <w:sz w:val="36"/>
          <w:szCs w:val="36"/>
          <w14:ligatures w14:val="none"/>
        </w:rPr>
        <w:t>75.3 Document Maintenance</w:t>
      </w:r>
    </w:p>
    <w:p w14:paraId="7D5431FE"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This specification is a living engineering document and shall be maintained throughout the software lifecycle. Revisions shall be version-controlled, reviewed, and synchronized with related project documentation to ensure continued consistency and traceability.</w:t>
      </w:r>
    </w:p>
    <w:p w14:paraId="220EEA24" w14:textId="77777777" w:rsidR="003E0EAA" w:rsidRPr="003E0EAA" w:rsidRDefault="003E0EAA" w:rsidP="003E0EAA">
      <w:pPr>
        <w:spacing w:after="0"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pict w14:anchorId="3208EC44">
          <v:rect id="_x0000_i1041" style="width:0;height:1.5pt" o:hralign="center" o:hrstd="t" o:hr="t" fillcolor="#a0a0a0" stroked="f"/>
        </w:pict>
      </w:r>
    </w:p>
    <w:p w14:paraId="31392D23" w14:textId="77777777" w:rsidR="003E0EAA" w:rsidRPr="003E0EAA" w:rsidRDefault="003E0EAA" w:rsidP="003E0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EAA">
        <w:rPr>
          <w:rFonts w:ascii="Times New Roman" w:eastAsia="Times New Roman" w:hAnsi="Times New Roman" w:cs="Times New Roman"/>
          <w:b/>
          <w:bCs/>
          <w:kern w:val="36"/>
          <w:sz w:val="48"/>
          <w:szCs w:val="48"/>
          <w14:ligatures w14:val="none"/>
        </w:rPr>
        <w:t>Part IX Design Rationale</w:t>
      </w:r>
    </w:p>
    <w:p w14:paraId="79856B2F" w14:textId="77777777" w:rsidR="003E0EAA" w:rsidRPr="003E0EAA" w:rsidRDefault="003E0EAA" w:rsidP="003E0EAA">
      <w:pPr>
        <w:spacing w:before="100" w:beforeAutospacing="1" w:after="100" w:afterAutospacing="1" w:line="240" w:lineRule="auto"/>
        <w:rPr>
          <w:rFonts w:ascii="Times New Roman" w:eastAsia="Times New Roman" w:hAnsi="Times New Roman" w:cs="Times New Roman"/>
          <w:kern w:val="0"/>
          <w14:ligatures w14:val="none"/>
        </w:rPr>
      </w:pPr>
      <w:r w:rsidRPr="003E0EAA">
        <w:rPr>
          <w:rFonts w:ascii="Times New Roman" w:eastAsia="Times New Roman" w:hAnsi="Times New Roman" w:cs="Times New Roman"/>
          <w:kern w:val="0"/>
          <w14:ligatures w14:val="none"/>
        </w:rPr>
        <w:t>The appendices provide the governance framework that supports the architecture over its lifetime. By documenting technology decisions, architecture decision records, traceability relationships, terminology, and change management practices, they preserve architectural knowledge, improve consistency across project artifacts, and facilitate future maintenance and evolution.</w:t>
      </w:r>
    </w:p>
    <w:p w14:paraId="7A261329"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4E8C"/>
    <w:multiLevelType w:val="multilevel"/>
    <w:tmpl w:val="269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44207"/>
    <w:multiLevelType w:val="multilevel"/>
    <w:tmpl w:val="87D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3420"/>
    <w:multiLevelType w:val="multilevel"/>
    <w:tmpl w:val="F63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16D30"/>
    <w:multiLevelType w:val="multilevel"/>
    <w:tmpl w:val="0DC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3794F"/>
    <w:multiLevelType w:val="multilevel"/>
    <w:tmpl w:val="48E8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D390B"/>
    <w:multiLevelType w:val="multilevel"/>
    <w:tmpl w:val="59E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07736">
    <w:abstractNumId w:val="4"/>
  </w:num>
  <w:num w:numId="2" w16cid:durableId="926186661">
    <w:abstractNumId w:val="3"/>
  </w:num>
  <w:num w:numId="3" w16cid:durableId="2043289442">
    <w:abstractNumId w:val="5"/>
  </w:num>
  <w:num w:numId="4" w16cid:durableId="1446805339">
    <w:abstractNumId w:val="1"/>
  </w:num>
  <w:num w:numId="5" w16cid:durableId="976689837">
    <w:abstractNumId w:val="2"/>
  </w:num>
  <w:num w:numId="6" w16cid:durableId="23347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AA"/>
    <w:rsid w:val="00060A3B"/>
    <w:rsid w:val="000D60DC"/>
    <w:rsid w:val="002C7EAA"/>
    <w:rsid w:val="003E0EAA"/>
    <w:rsid w:val="008F39B2"/>
    <w:rsid w:val="00BA4EB0"/>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A474"/>
  <w15:chartTrackingRefBased/>
  <w15:docId w15:val="{564322DA-6C83-469C-A1DD-BD9EF050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EAA"/>
    <w:rPr>
      <w:rFonts w:eastAsiaTheme="majorEastAsia" w:cstheme="majorBidi"/>
      <w:color w:val="272727" w:themeColor="text1" w:themeTint="D8"/>
    </w:rPr>
  </w:style>
  <w:style w:type="paragraph" w:styleId="Title">
    <w:name w:val="Title"/>
    <w:basedOn w:val="Normal"/>
    <w:next w:val="Normal"/>
    <w:link w:val="TitleChar"/>
    <w:uiPriority w:val="10"/>
    <w:qFormat/>
    <w:rsid w:val="003E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EAA"/>
    <w:pPr>
      <w:spacing w:before="160"/>
      <w:jc w:val="center"/>
    </w:pPr>
    <w:rPr>
      <w:i/>
      <w:iCs/>
      <w:color w:val="404040" w:themeColor="text1" w:themeTint="BF"/>
    </w:rPr>
  </w:style>
  <w:style w:type="character" w:customStyle="1" w:styleId="QuoteChar">
    <w:name w:val="Quote Char"/>
    <w:basedOn w:val="DefaultParagraphFont"/>
    <w:link w:val="Quote"/>
    <w:uiPriority w:val="29"/>
    <w:rsid w:val="003E0EAA"/>
    <w:rPr>
      <w:i/>
      <w:iCs/>
      <w:color w:val="404040" w:themeColor="text1" w:themeTint="BF"/>
    </w:rPr>
  </w:style>
  <w:style w:type="paragraph" w:styleId="ListParagraph">
    <w:name w:val="List Paragraph"/>
    <w:basedOn w:val="Normal"/>
    <w:uiPriority w:val="34"/>
    <w:qFormat/>
    <w:rsid w:val="003E0EAA"/>
    <w:pPr>
      <w:ind w:left="720"/>
      <w:contextualSpacing/>
    </w:pPr>
  </w:style>
  <w:style w:type="character" w:styleId="IntenseEmphasis">
    <w:name w:val="Intense Emphasis"/>
    <w:basedOn w:val="DefaultParagraphFont"/>
    <w:uiPriority w:val="21"/>
    <w:qFormat/>
    <w:rsid w:val="003E0EAA"/>
    <w:rPr>
      <w:i/>
      <w:iCs/>
      <w:color w:val="2F5496" w:themeColor="accent1" w:themeShade="BF"/>
    </w:rPr>
  </w:style>
  <w:style w:type="paragraph" w:styleId="IntenseQuote">
    <w:name w:val="Intense Quote"/>
    <w:basedOn w:val="Normal"/>
    <w:next w:val="Normal"/>
    <w:link w:val="IntenseQuoteChar"/>
    <w:uiPriority w:val="30"/>
    <w:qFormat/>
    <w:rsid w:val="003E0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EAA"/>
    <w:rPr>
      <w:i/>
      <w:iCs/>
      <w:color w:val="2F5496" w:themeColor="accent1" w:themeShade="BF"/>
    </w:rPr>
  </w:style>
  <w:style w:type="character" w:styleId="IntenseReference">
    <w:name w:val="Intense Reference"/>
    <w:basedOn w:val="DefaultParagraphFont"/>
    <w:uiPriority w:val="32"/>
    <w:qFormat/>
    <w:rsid w:val="003E0E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7</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2026-07-18T23:34:00Z</dcterms:created>
  <dcterms:modified xsi:type="dcterms:W3CDTF">2026-07-19T04:39:00Z</dcterms:modified>
</cp:coreProperties>
</file>