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61D85" w14:textId="75E236E7" w:rsidR="00BB065E" w:rsidRPr="003349C6" w:rsidRDefault="00FC2F80">
      <w:pPr>
        <w:rPr>
          <w:b/>
        </w:rPr>
      </w:pPr>
      <w:r w:rsidRPr="003349C6">
        <w:rPr>
          <w:b/>
        </w:rPr>
        <w:t xml:space="preserve">How student teachers learn to teach and </w:t>
      </w:r>
      <w:r w:rsidR="00743D03" w:rsidRPr="003349C6">
        <w:rPr>
          <w:b/>
        </w:rPr>
        <w:t>acquir</w:t>
      </w:r>
      <w:r w:rsidRPr="003349C6">
        <w:rPr>
          <w:b/>
        </w:rPr>
        <w:t xml:space="preserve">e the </w:t>
      </w:r>
      <w:r w:rsidR="00743D03" w:rsidRPr="003349C6">
        <w:rPr>
          <w:b/>
        </w:rPr>
        <w:t>knowledge of teaching</w:t>
      </w:r>
      <w:r w:rsidR="0013386D">
        <w:rPr>
          <w:b/>
        </w:rPr>
        <w:t xml:space="preserve">, </w:t>
      </w:r>
      <w:r w:rsidR="00743D03" w:rsidRPr="003349C6">
        <w:rPr>
          <w:b/>
        </w:rPr>
        <w:t>learning</w:t>
      </w:r>
      <w:r w:rsidR="0013386D">
        <w:rPr>
          <w:b/>
        </w:rPr>
        <w:t>, and assessment</w:t>
      </w:r>
    </w:p>
    <w:tbl>
      <w:tblPr>
        <w:tblStyle w:val="TableGrid"/>
        <w:tblW w:w="13948" w:type="dxa"/>
        <w:tblLook w:val="04A0" w:firstRow="1" w:lastRow="0" w:firstColumn="1" w:lastColumn="0" w:noHBand="0" w:noVBand="1"/>
      </w:tblPr>
      <w:tblGrid>
        <w:gridCol w:w="1606"/>
        <w:gridCol w:w="1224"/>
        <w:gridCol w:w="4661"/>
        <w:gridCol w:w="1025"/>
        <w:gridCol w:w="3023"/>
        <w:gridCol w:w="2409"/>
      </w:tblGrid>
      <w:tr w:rsidR="007D2132" w:rsidRPr="000A2DED" w14:paraId="26E1D880" w14:textId="7ECCA130" w:rsidTr="003349C6">
        <w:tc>
          <w:tcPr>
            <w:tcW w:w="1606" w:type="dxa"/>
          </w:tcPr>
          <w:p w14:paraId="75112B9F" w14:textId="2002D3D5" w:rsidR="003C142C" w:rsidRDefault="007D2132" w:rsidP="00FC2F80">
            <w:pPr>
              <w:rPr>
                <w:rFonts w:ascii="Arial" w:hAnsi="Arial" w:cs="Arial"/>
                <w:b/>
                <w:sz w:val="20"/>
                <w:szCs w:val="20"/>
              </w:rPr>
            </w:pPr>
            <w:r>
              <w:rPr>
                <w:rFonts w:ascii="Arial" w:hAnsi="Arial" w:cs="Arial"/>
                <w:b/>
                <w:sz w:val="20"/>
                <w:szCs w:val="20"/>
              </w:rPr>
              <w:t>Level of understanding</w:t>
            </w:r>
          </w:p>
        </w:tc>
        <w:tc>
          <w:tcPr>
            <w:tcW w:w="1224" w:type="dxa"/>
          </w:tcPr>
          <w:p w14:paraId="71873E1F" w14:textId="02BBAE0F" w:rsidR="003C142C" w:rsidRPr="000A2DED" w:rsidRDefault="003C142C" w:rsidP="00FC2F80">
            <w:pPr>
              <w:rPr>
                <w:rFonts w:ascii="Arial" w:hAnsi="Arial" w:cs="Arial"/>
                <w:b/>
                <w:sz w:val="20"/>
                <w:szCs w:val="20"/>
              </w:rPr>
            </w:pPr>
            <w:r>
              <w:rPr>
                <w:rFonts w:ascii="Arial" w:hAnsi="Arial" w:cs="Arial"/>
                <w:b/>
                <w:sz w:val="20"/>
                <w:szCs w:val="20"/>
              </w:rPr>
              <w:t>Taylor’s ways of learning to teach</w:t>
            </w:r>
          </w:p>
        </w:tc>
        <w:tc>
          <w:tcPr>
            <w:tcW w:w="4661" w:type="dxa"/>
          </w:tcPr>
          <w:p w14:paraId="6C671E0D" w14:textId="77777777" w:rsidR="003C142C" w:rsidRPr="000A2DED" w:rsidRDefault="003C142C">
            <w:pPr>
              <w:rPr>
                <w:rFonts w:ascii="Arial" w:hAnsi="Arial" w:cs="Arial"/>
                <w:b/>
                <w:sz w:val="20"/>
                <w:szCs w:val="20"/>
              </w:rPr>
            </w:pPr>
            <w:r w:rsidRPr="000A2DED">
              <w:rPr>
                <w:rFonts w:ascii="Arial" w:hAnsi="Arial" w:cs="Arial"/>
                <w:b/>
                <w:sz w:val="20"/>
                <w:szCs w:val="20"/>
              </w:rPr>
              <w:t>What is it?</w:t>
            </w:r>
          </w:p>
        </w:tc>
        <w:tc>
          <w:tcPr>
            <w:tcW w:w="1025" w:type="dxa"/>
          </w:tcPr>
          <w:p w14:paraId="4AF8BD0D" w14:textId="77777777" w:rsidR="003C142C" w:rsidRPr="000A2DED" w:rsidRDefault="003C142C" w:rsidP="0092418B">
            <w:pPr>
              <w:rPr>
                <w:rFonts w:ascii="Arial" w:hAnsi="Arial" w:cs="Arial"/>
                <w:b/>
                <w:sz w:val="20"/>
                <w:szCs w:val="20"/>
              </w:rPr>
            </w:pPr>
            <w:r w:rsidRPr="000A2DED">
              <w:rPr>
                <w:rFonts w:ascii="Arial" w:hAnsi="Arial" w:cs="Arial"/>
                <w:b/>
                <w:sz w:val="20"/>
                <w:szCs w:val="20"/>
              </w:rPr>
              <w:t>Who does it?</w:t>
            </w:r>
          </w:p>
        </w:tc>
        <w:tc>
          <w:tcPr>
            <w:tcW w:w="3023" w:type="dxa"/>
          </w:tcPr>
          <w:p w14:paraId="43797DF4" w14:textId="55D2A7C9" w:rsidR="003C142C" w:rsidRPr="000A2DED" w:rsidRDefault="003C142C" w:rsidP="00FC2F80">
            <w:pPr>
              <w:rPr>
                <w:rFonts w:ascii="Arial" w:hAnsi="Arial" w:cs="Arial"/>
                <w:b/>
                <w:sz w:val="20"/>
                <w:szCs w:val="20"/>
              </w:rPr>
            </w:pPr>
            <w:r>
              <w:rPr>
                <w:rFonts w:ascii="Arial" w:hAnsi="Arial" w:cs="Arial"/>
                <w:b/>
                <w:sz w:val="20"/>
                <w:szCs w:val="20"/>
              </w:rPr>
              <w:t>How?</w:t>
            </w:r>
          </w:p>
        </w:tc>
        <w:tc>
          <w:tcPr>
            <w:tcW w:w="2409" w:type="dxa"/>
          </w:tcPr>
          <w:p w14:paraId="0B50982A" w14:textId="4A9FDBEB" w:rsidR="003C142C" w:rsidRDefault="003C142C" w:rsidP="00384FDD">
            <w:pPr>
              <w:rPr>
                <w:rFonts w:ascii="Arial" w:hAnsi="Arial" w:cs="Arial"/>
                <w:b/>
                <w:sz w:val="20"/>
                <w:szCs w:val="20"/>
              </w:rPr>
            </w:pPr>
            <w:r>
              <w:rPr>
                <w:rFonts w:ascii="Arial" w:hAnsi="Arial" w:cs="Arial"/>
                <w:b/>
                <w:sz w:val="20"/>
                <w:szCs w:val="20"/>
              </w:rPr>
              <w:t>Burn</w:t>
            </w:r>
            <w:r w:rsidR="00384FDD">
              <w:rPr>
                <w:rFonts w:ascii="Arial" w:hAnsi="Arial" w:cs="Arial"/>
                <w:b/>
                <w:sz w:val="20"/>
                <w:szCs w:val="20"/>
              </w:rPr>
              <w:t xml:space="preserve">, </w:t>
            </w:r>
            <w:proofErr w:type="spellStart"/>
            <w:r w:rsidR="00384FDD">
              <w:rPr>
                <w:rFonts w:ascii="Arial" w:hAnsi="Arial" w:cs="Arial"/>
                <w:b/>
                <w:sz w:val="20"/>
                <w:szCs w:val="20"/>
              </w:rPr>
              <w:t>Hagger</w:t>
            </w:r>
            <w:proofErr w:type="spellEnd"/>
            <w:r w:rsidR="00384FDD">
              <w:rPr>
                <w:rFonts w:ascii="Arial" w:hAnsi="Arial" w:cs="Arial"/>
                <w:b/>
                <w:sz w:val="20"/>
                <w:szCs w:val="20"/>
              </w:rPr>
              <w:t xml:space="preserve">, and Mutton’s </w:t>
            </w:r>
            <w:r>
              <w:rPr>
                <w:rFonts w:ascii="Arial" w:hAnsi="Arial" w:cs="Arial"/>
                <w:b/>
                <w:sz w:val="20"/>
                <w:szCs w:val="20"/>
              </w:rPr>
              <w:t>types of knowledge being acquired</w:t>
            </w:r>
          </w:p>
        </w:tc>
      </w:tr>
      <w:tr w:rsidR="007D2132" w:rsidRPr="000A2DED" w14:paraId="3E2C51A4" w14:textId="2DEA4220" w:rsidTr="003349C6">
        <w:tc>
          <w:tcPr>
            <w:tcW w:w="1606" w:type="dxa"/>
          </w:tcPr>
          <w:p w14:paraId="173EA31A" w14:textId="13CABB48" w:rsidR="003C142C" w:rsidRPr="000A2DED" w:rsidRDefault="007D2132">
            <w:pPr>
              <w:rPr>
                <w:rFonts w:ascii="Arial" w:hAnsi="Arial" w:cs="Arial"/>
                <w:sz w:val="20"/>
                <w:szCs w:val="20"/>
              </w:rPr>
            </w:pPr>
            <w:r>
              <w:rPr>
                <w:rFonts w:ascii="Arial" w:hAnsi="Arial" w:cs="Arial"/>
                <w:sz w:val="20"/>
                <w:szCs w:val="20"/>
              </w:rPr>
              <w:t>Limited</w:t>
            </w:r>
          </w:p>
        </w:tc>
        <w:tc>
          <w:tcPr>
            <w:tcW w:w="1224" w:type="dxa"/>
          </w:tcPr>
          <w:p w14:paraId="413B7EB1" w14:textId="2EC3591E" w:rsidR="003C142C" w:rsidRPr="000A2DED" w:rsidRDefault="003C142C">
            <w:pPr>
              <w:rPr>
                <w:rFonts w:ascii="Arial" w:hAnsi="Arial" w:cs="Arial"/>
                <w:sz w:val="20"/>
                <w:szCs w:val="20"/>
              </w:rPr>
            </w:pPr>
            <w:r w:rsidRPr="000A2DED">
              <w:rPr>
                <w:rFonts w:ascii="Arial" w:hAnsi="Arial" w:cs="Arial"/>
                <w:sz w:val="20"/>
                <w:szCs w:val="20"/>
              </w:rPr>
              <w:t>Cascading expertise</w:t>
            </w:r>
          </w:p>
        </w:tc>
        <w:tc>
          <w:tcPr>
            <w:tcW w:w="4661" w:type="dxa"/>
          </w:tcPr>
          <w:p w14:paraId="75287296" w14:textId="6C58395A" w:rsidR="003C142C" w:rsidRPr="000A2DED" w:rsidRDefault="003349C6" w:rsidP="00FC2F80">
            <w:pPr>
              <w:rPr>
                <w:rFonts w:ascii="Arial" w:hAnsi="Arial" w:cs="Arial"/>
                <w:sz w:val="20"/>
                <w:szCs w:val="20"/>
              </w:rPr>
            </w:pPr>
            <w:r>
              <w:rPr>
                <w:rFonts w:ascii="Arial" w:hAnsi="Arial" w:cs="Arial"/>
                <w:sz w:val="20"/>
                <w:szCs w:val="20"/>
              </w:rPr>
              <w:t>I</w:t>
            </w:r>
            <w:r w:rsidRPr="003349C6">
              <w:rPr>
                <w:rFonts w:ascii="Arial" w:hAnsi="Arial" w:cs="Arial"/>
                <w:sz w:val="20"/>
                <w:szCs w:val="20"/>
              </w:rPr>
              <w:t xml:space="preserve">nvolves the teacher educator </w:t>
            </w:r>
            <w:r>
              <w:rPr>
                <w:rFonts w:ascii="Arial" w:hAnsi="Arial" w:cs="Arial"/>
                <w:sz w:val="20"/>
                <w:szCs w:val="20"/>
              </w:rPr>
              <w:t xml:space="preserve">or mentor </w:t>
            </w:r>
            <w:r w:rsidRPr="003349C6">
              <w:rPr>
                <w:rFonts w:ascii="Arial" w:hAnsi="Arial" w:cs="Arial"/>
                <w:sz w:val="20"/>
                <w:szCs w:val="20"/>
              </w:rPr>
              <w:t>transmitting important practical knowledge on, for instance, managing disruptive behaviour to their student teachers prior to a period of practicum.</w:t>
            </w:r>
          </w:p>
        </w:tc>
        <w:tc>
          <w:tcPr>
            <w:tcW w:w="1025" w:type="dxa"/>
          </w:tcPr>
          <w:p w14:paraId="2BC0D0D7" w14:textId="77777777" w:rsidR="003C142C" w:rsidRPr="000A2DED" w:rsidRDefault="003C142C" w:rsidP="0092418B">
            <w:pPr>
              <w:rPr>
                <w:rFonts w:ascii="Arial" w:hAnsi="Arial" w:cs="Arial"/>
                <w:sz w:val="20"/>
                <w:szCs w:val="20"/>
              </w:rPr>
            </w:pPr>
            <w:r w:rsidRPr="000A2DED">
              <w:rPr>
                <w:rFonts w:ascii="Arial" w:hAnsi="Arial" w:cs="Arial"/>
                <w:sz w:val="20"/>
                <w:szCs w:val="20"/>
              </w:rPr>
              <w:t>Teacher educator</w:t>
            </w:r>
          </w:p>
          <w:p w14:paraId="1F1894C2" w14:textId="77777777" w:rsidR="003C142C" w:rsidRPr="000A2DED" w:rsidRDefault="003C142C" w:rsidP="0092418B">
            <w:pPr>
              <w:rPr>
                <w:rFonts w:ascii="Arial" w:hAnsi="Arial" w:cs="Arial"/>
                <w:sz w:val="20"/>
                <w:szCs w:val="20"/>
              </w:rPr>
            </w:pPr>
            <w:r w:rsidRPr="000A2DED">
              <w:rPr>
                <w:rFonts w:ascii="Arial" w:hAnsi="Arial" w:cs="Arial"/>
                <w:sz w:val="20"/>
                <w:szCs w:val="20"/>
              </w:rPr>
              <w:t>Mentor</w:t>
            </w:r>
          </w:p>
        </w:tc>
        <w:tc>
          <w:tcPr>
            <w:tcW w:w="3023" w:type="dxa"/>
          </w:tcPr>
          <w:p w14:paraId="0D0FA95A" w14:textId="62B23939" w:rsidR="003C142C" w:rsidRDefault="003C142C" w:rsidP="0092418B">
            <w:pPr>
              <w:rPr>
                <w:rFonts w:ascii="Arial" w:hAnsi="Arial" w:cs="Arial"/>
                <w:sz w:val="20"/>
                <w:szCs w:val="20"/>
              </w:rPr>
            </w:pPr>
            <w:r w:rsidRPr="000A2DED">
              <w:rPr>
                <w:rFonts w:ascii="Arial" w:hAnsi="Arial" w:cs="Arial"/>
                <w:sz w:val="20"/>
                <w:szCs w:val="20"/>
              </w:rPr>
              <w:t xml:space="preserve">Explaining </w:t>
            </w:r>
            <w:r w:rsidR="00203BC3">
              <w:rPr>
                <w:rFonts w:ascii="Arial" w:hAnsi="Arial" w:cs="Arial"/>
                <w:sz w:val="20"/>
                <w:szCs w:val="20"/>
              </w:rPr>
              <w:t>teaching ideas</w:t>
            </w:r>
          </w:p>
          <w:p w14:paraId="6A4A2E86" w14:textId="3DAB3E10" w:rsidR="00203BC3" w:rsidRPr="000A2DED" w:rsidRDefault="00203BC3" w:rsidP="0092418B">
            <w:pPr>
              <w:rPr>
                <w:rFonts w:ascii="Arial" w:hAnsi="Arial" w:cs="Arial"/>
                <w:sz w:val="20"/>
                <w:szCs w:val="20"/>
              </w:rPr>
            </w:pPr>
            <w:r>
              <w:rPr>
                <w:rFonts w:ascii="Arial" w:hAnsi="Arial" w:cs="Arial"/>
                <w:sz w:val="20"/>
                <w:szCs w:val="20"/>
              </w:rPr>
              <w:t>Modelling how to do it</w:t>
            </w:r>
          </w:p>
          <w:p w14:paraId="2CE09120" w14:textId="0D0B5C84" w:rsidR="003C142C" w:rsidRPr="000A2DED" w:rsidRDefault="003C142C" w:rsidP="0092418B">
            <w:pPr>
              <w:rPr>
                <w:rFonts w:ascii="Arial" w:hAnsi="Arial" w:cs="Arial"/>
                <w:sz w:val="20"/>
                <w:szCs w:val="20"/>
              </w:rPr>
            </w:pPr>
          </w:p>
        </w:tc>
        <w:tc>
          <w:tcPr>
            <w:tcW w:w="2409" w:type="dxa"/>
          </w:tcPr>
          <w:p w14:paraId="0EF78851" w14:textId="77777777" w:rsidR="003C142C" w:rsidRPr="000A2DED" w:rsidRDefault="003C142C" w:rsidP="0092418B">
            <w:pPr>
              <w:rPr>
                <w:rFonts w:ascii="Arial" w:hAnsi="Arial" w:cs="Arial"/>
                <w:sz w:val="20"/>
                <w:szCs w:val="20"/>
              </w:rPr>
            </w:pPr>
          </w:p>
        </w:tc>
      </w:tr>
      <w:tr w:rsidR="007D2132" w:rsidRPr="000A2DED" w14:paraId="429FFFBB" w14:textId="493531DD" w:rsidTr="003349C6">
        <w:tc>
          <w:tcPr>
            <w:tcW w:w="1606" w:type="dxa"/>
          </w:tcPr>
          <w:p w14:paraId="0243C2CC" w14:textId="2BCA8544" w:rsidR="003C142C" w:rsidRPr="000A2DED" w:rsidRDefault="003C142C">
            <w:pPr>
              <w:rPr>
                <w:rFonts w:ascii="Arial" w:hAnsi="Arial" w:cs="Arial"/>
                <w:sz w:val="20"/>
                <w:szCs w:val="20"/>
              </w:rPr>
            </w:pPr>
          </w:p>
        </w:tc>
        <w:tc>
          <w:tcPr>
            <w:tcW w:w="1224" w:type="dxa"/>
          </w:tcPr>
          <w:p w14:paraId="4544D253" w14:textId="5903CFB2" w:rsidR="003C142C" w:rsidRPr="000A2DED" w:rsidRDefault="003C142C">
            <w:pPr>
              <w:rPr>
                <w:rFonts w:ascii="Arial" w:hAnsi="Arial" w:cs="Arial"/>
                <w:sz w:val="20"/>
                <w:szCs w:val="20"/>
              </w:rPr>
            </w:pPr>
            <w:r w:rsidRPr="000A2DED">
              <w:rPr>
                <w:rFonts w:ascii="Arial" w:hAnsi="Arial" w:cs="Arial"/>
                <w:sz w:val="20"/>
                <w:szCs w:val="20"/>
              </w:rPr>
              <w:t>Enabling Students’ Individual Growth as a Teacher</w:t>
            </w:r>
          </w:p>
        </w:tc>
        <w:tc>
          <w:tcPr>
            <w:tcW w:w="4661" w:type="dxa"/>
          </w:tcPr>
          <w:p w14:paraId="7C459A82" w14:textId="7B7D704F" w:rsidR="003C142C" w:rsidRPr="000A2DED" w:rsidRDefault="003349C6" w:rsidP="003349C6">
            <w:pPr>
              <w:rPr>
                <w:rFonts w:ascii="Arial" w:hAnsi="Arial" w:cs="Arial"/>
                <w:sz w:val="20"/>
                <w:szCs w:val="20"/>
              </w:rPr>
            </w:pPr>
            <w:bookmarkStart w:id="0" w:name="_GoBack"/>
            <w:bookmarkEnd w:id="0"/>
            <w:r>
              <w:rPr>
                <w:rFonts w:ascii="Arial" w:hAnsi="Arial" w:cs="Arial"/>
                <w:sz w:val="20"/>
                <w:szCs w:val="20"/>
              </w:rPr>
              <w:t>H</w:t>
            </w:r>
            <w:r w:rsidRPr="003349C6">
              <w:rPr>
                <w:rFonts w:ascii="Arial" w:hAnsi="Arial" w:cs="Arial"/>
                <w:sz w:val="20"/>
                <w:szCs w:val="20"/>
              </w:rPr>
              <w:t>ow a mentor nurtures the development and growth of a student teacher during the practicum. An example of this might be the way in which the mentor supports the student teacher after a difficult class so that they learn from what has happened and have the confidence to return to the same class.</w:t>
            </w:r>
          </w:p>
        </w:tc>
        <w:tc>
          <w:tcPr>
            <w:tcW w:w="1025" w:type="dxa"/>
          </w:tcPr>
          <w:p w14:paraId="6263EE72" w14:textId="77777777" w:rsidR="003C142C" w:rsidRDefault="003C142C">
            <w:pPr>
              <w:rPr>
                <w:rFonts w:ascii="Arial" w:hAnsi="Arial" w:cs="Arial"/>
                <w:sz w:val="20"/>
                <w:szCs w:val="20"/>
              </w:rPr>
            </w:pPr>
            <w:r>
              <w:rPr>
                <w:rFonts w:ascii="Arial" w:hAnsi="Arial" w:cs="Arial"/>
                <w:sz w:val="20"/>
                <w:szCs w:val="20"/>
              </w:rPr>
              <w:t>Teacher educator</w:t>
            </w:r>
          </w:p>
          <w:p w14:paraId="212841DE" w14:textId="58AC3B18" w:rsidR="003C142C" w:rsidRDefault="003C142C">
            <w:pPr>
              <w:rPr>
                <w:rFonts w:ascii="Arial" w:hAnsi="Arial" w:cs="Arial"/>
                <w:sz w:val="20"/>
                <w:szCs w:val="20"/>
              </w:rPr>
            </w:pPr>
            <w:r w:rsidRPr="000A2DED">
              <w:rPr>
                <w:rFonts w:ascii="Arial" w:hAnsi="Arial" w:cs="Arial"/>
                <w:sz w:val="20"/>
                <w:szCs w:val="20"/>
              </w:rPr>
              <w:t>Mentor</w:t>
            </w:r>
          </w:p>
          <w:p w14:paraId="2073B113" w14:textId="0D4DF43C" w:rsidR="003C142C" w:rsidRPr="000A2DED" w:rsidRDefault="003C142C">
            <w:pPr>
              <w:rPr>
                <w:rFonts w:ascii="Arial" w:hAnsi="Arial" w:cs="Arial"/>
                <w:sz w:val="20"/>
                <w:szCs w:val="20"/>
              </w:rPr>
            </w:pPr>
          </w:p>
        </w:tc>
        <w:tc>
          <w:tcPr>
            <w:tcW w:w="3023" w:type="dxa"/>
          </w:tcPr>
          <w:p w14:paraId="115CEE10" w14:textId="77777777" w:rsidR="003C142C" w:rsidRPr="000A2DED" w:rsidRDefault="003C142C">
            <w:pPr>
              <w:rPr>
                <w:rFonts w:ascii="Arial" w:hAnsi="Arial" w:cs="Arial"/>
                <w:sz w:val="20"/>
                <w:szCs w:val="20"/>
              </w:rPr>
            </w:pPr>
            <w:r w:rsidRPr="000A2DED">
              <w:rPr>
                <w:rFonts w:ascii="Arial" w:hAnsi="Arial" w:cs="Arial"/>
                <w:sz w:val="20"/>
                <w:szCs w:val="20"/>
              </w:rPr>
              <w:t>Mentoring</w:t>
            </w:r>
          </w:p>
          <w:p w14:paraId="35258C38" w14:textId="77777777" w:rsidR="003C142C" w:rsidRPr="000A2DED" w:rsidRDefault="003C142C">
            <w:pPr>
              <w:rPr>
                <w:rFonts w:ascii="Arial" w:hAnsi="Arial" w:cs="Arial"/>
                <w:sz w:val="20"/>
                <w:szCs w:val="20"/>
              </w:rPr>
            </w:pPr>
            <w:r w:rsidRPr="000A2DED">
              <w:rPr>
                <w:rFonts w:ascii="Arial" w:hAnsi="Arial" w:cs="Arial"/>
                <w:sz w:val="20"/>
                <w:szCs w:val="20"/>
              </w:rPr>
              <w:t>Tutorials</w:t>
            </w:r>
          </w:p>
          <w:p w14:paraId="7C8100DB" w14:textId="77E3D921" w:rsidR="003C142C" w:rsidRDefault="003C142C">
            <w:pPr>
              <w:rPr>
                <w:rFonts w:ascii="Arial" w:hAnsi="Arial" w:cs="Arial"/>
                <w:sz w:val="20"/>
                <w:szCs w:val="20"/>
              </w:rPr>
            </w:pPr>
            <w:r>
              <w:rPr>
                <w:rFonts w:ascii="Arial" w:hAnsi="Arial" w:cs="Arial"/>
                <w:sz w:val="20"/>
                <w:szCs w:val="20"/>
              </w:rPr>
              <w:t>Practicum</w:t>
            </w:r>
          </w:p>
          <w:p w14:paraId="7C0ABA74" w14:textId="77777777" w:rsidR="003C142C" w:rsidRPr="000A2DED" w:rsidRDefault="003C142C">
            <w:pPr>
              <w:rPr>
                <w:rFonts w:ascii="Arial" w:hAnsi="Arial" w:cs="Arial"/>
                <w:sz w:val="20"/>
                <w:szCs w:val="20"/>
              </w:rPr>
            </w:pPr>
            <w:r>
              <w:rPr>
                <w:rFonts w:ascii="Arial" w:hAnsi="Arial" w:cs="Arial"/>
                <w:sz w:val="20"/>
                <w:szCs w:val="20"/>
              </w:rPr>
              <w:t>Informal conversations before and after classes</w:t>
            </w:r>
          </w:p>
        </w:tc>
        <w:tc>
          <w:tcPr>
            <w:tcW w:w="2409" w:type="dxa"/>
          </w:tcPr>
          <w:p w14:paraId="18C6CC18" w14:textId="77777777" w:rsidR="003C142C" w:rsidRPr="000A2DED" w:rsidRDefault="003C142C">
            <w:pPr>
              <w:rPr>
                <w:rFonts w:ascii="Arial" w:hAnsi="Arial" w:cs="Arial"/>
                <w:sz w:val="20"/>
                <w:szCs w:val="20"/>
              </w:rPr>
            </w:pPr>
          </w:p>
        </w:tc>
      </w:tr>
      <w:tr w:rsidR="007D2132" w:rsidRPr="000A2DED" w14:paraId="1B62AD2A" w14:textId="1D908246" w:rsidTr="003349C6">
        <w:tc>
          <w:tcPr>
            <w:tcW w:w="1606" w:type="dxa"/>
          </w:tcPr>
          <w:p w14:paraId="734FBA9A" w14:textId="6136C7D8" w:rsidR="003C142C" w:rsidRPr="000A2DED" w:rsidRDefault="007D2132">
            <w:pPr>
              <w:rPr>
                <w:rFonts w:ascii="Arial" w:hAnsi="Arial" w:cs="Arial"/>
                <w:sz w:val="20"/>
                <w:szCs w:val="20"/>
              </w:rPr>
            </w:pPr>
            <w:r>
              <w:rPr>
                <w:rFonts w:ascii="Arial" w:hAnsi="Arial" w:cs="Arial"/>
                <w:sz w:val="20"/>
                <w:szCs w:val="20"/>
              </w:rPr>
              <w:t>Intermediate</w:t>
            </w:r>
          </w:p>
        </w:tc>
        <w:tc>
          <w:tcPr>
            <w:tcW w:w="1224" w:type="dxa"/>
          </w:tcPr>
          <w:p w14:paraId="0F229210" w14:textId="7C94CB7F" w:rsidR="003C142C" w:rsidRPr="000A2DED" w:rsidRDefault="003C142C">
            <w:pPr>
              <w:rPr>
                <w:rFonts w:ascii="Arial" w:hAnsi="Arial" w:cs="Arial"/>
                <w:sz w:val="20"/>
                <w:szCs w:val="20"/>
              </w:rPr>
            </w:pPr>
            <w:r w:rsidRPr="000A2DED">
              <w:rPr>
                <w:rFonts w:ascii="Arial" w:hAnsi="Arial" w:cs="Arial"/>
                <w:sz w:val="20"/>
                <w:szCs w:val="20"/>
              </w:rPr>
              <w:t>Developing Student Teaching</w:t>
            </w:r>
          </w:p>
        </w:tc>
        <w:tc>
          <w:tcPr>
            <w:tcW w:w="4661" w:type="dxa"/>
          </w:tcPr>
          <w:p w14:paraId="3C4A1D38" w14:textId="01BDA0DF" w:rsidR="003C142C" w:rsidRPr="000A2DED" w:rsidRDefault="003349C6" w:rsidP="003C142C">
            <w:pPr>
              <w:rPr>
                <w:rFonts w:ascii="Arial" w:hAnsi="Arial" w:cs="Arial"/>
                <w:sz w:val="20"/>
                <w:szCs w:val="20"/>
              </w:rPr>
            </w:pPr>
            <w:r>
              <w:rPr>
                <w:rFonts w:ascii="Arial" w:hAnsi="Arial" w:cs="Arial"/>
                <w:sz w:val="20"/>
                <w:szCs w:val="20"/>
              </w:rPr>
              <w:t>E</w:t>
            </w:r>
            <w:r w:rsidRPr="003349C6">
              <w:rPr>
                <w:rFonts w:ascii="Arial" w:hAnsi="Arial" w:cs="Arial"/>
                <w:sz w:val="20"/>
                <w:szCs w:val="20"/>
              </w:rPr>
              <w:t xml:space="preserve">xperts, normally teacher educators and mentors, helping student teachers establish their own repertoire of teaching strategies. This apprenticeship </w:t>
            </w:r>
            <w:r>
              <w:rPr>
                <w:rFonts w:ascii="Arial" w:hAnsi="Arial" w:cs="Arial"/>
                <w:sz w:val="20"/>
                <w:szCs w:val="20"/>
              </w:rPr>
              <w:t>m</w:t>
            </w:r>
            <w:r w:rsidRPr="003349C6">
              <w:rPr>
                <w:rFonts w:ascii="Arial" w:hAnsi="Arial" w:cs="Arial"/>
                <w:sz w:val="20"/>
                <w:szCs w:val="20"/>
              </w:rPr>
              <w:t xml:space="preserve">odel (Boyd, 2014) might be a result of a teacher educator modelling a strategy in their classroom, the mentor modelling it in their classroom, the student teacher co-teaching with an experienced teacher, or teaching their own class and receiving feedback on it. What is important is that the student teacher is able to discuss with an expert the strategy so they understand it and get feedback on it if they use it. </w:t>
            </w:r>
          </w:p>
        </w:tc>
        <w:tc>
          <w:tcPr>
            <w:tcW w:w="1025" w:type="dxa"/>
          </w:tcPr>
          <w:p w14:paraId="4A0662D5" w14:textId="77777777" w:rsidR="003C142C" w:rsidRDefault="003C142C" w:rsidP="004569EA">
            <w:pPr>
              <w:rPr>
                <w:rFonts w:ascii="Arial" w:hAnsi="Arial" w:cs="Arial"/>
                <w:sz w:val="20"/>
                <w:szCs w:val="20"/>
              </w:rPr>
            </w:pPr>
            <w:r>
              <w:rPr>
                <w:rFonts w:ascii="Arial" w:hAnsi="Arial" w:cs="Arial"/>
                <w:sz w:val="20"/>
                <w:szCs w:val="20"/>
              </w:rPr>
              <w:t>Mentor</w:t>
            </w:r>
          </w:p>
          <w:p w14:paraId="570F9898" w14:textId="77777777" w:rsidR="003C142C" w:rsidRDefault="003C142C" w:rsidP="004569EA">
            <w:pPr>
              <w:rPr>
                <w:rFonts w:ascii="Arial" w:hAnsi="Arial" w:cs="Arial"/>
                <w:sz w:val="20"/>
                <w:szCs w:val="20"/>
              </w:rPr>
            </w:pPr>
            <w:r>
              <w:rPr>
                <w:rFonts w:ascii="Arial" w:hAnsi="Arial" w:cs="Arial"/>
                <w:sz w:val="20"/>
                <w:szCs w:val="20"/>
              </w:rPr>
              <w:t>Teacher educator</w:t>
            </w:r>
          </w:p>
          <w:p w14:paraId="1269D63B" w14:textId="791B7C4E" w:rsidR="00FD6DF3" w:rsidRPr="000A2DED" w:rsidRDefault="00FD6DF3" w:rsidP="004569EA">
            <w:pPr>
              <w:rPr>
                <w:rFonts w:ascii="Arial" w:hAnsi="Arial" w:cs="Arial"/>
                <w:sz w:val="20"/>
                <w:szCs w:val="20"/>
              </w:rPr>
            </w:pPr>
            <w:r>
              <w:rPr>
                <w:rFonts w:ascii="Arial" w:hAnsi="Arial" w:cs="Arial"/>
                <w:sz w:val="20"/>
                <w:szCs w:val="20"/>
              </w:rPr>
              <w:t>Other teachers</w:t>
            </w:r>
          </w:p>
        </w:tc>
        <w:tc>
          <w:tcPr>
            <w:tcW w:w="3023" w:type="dxa"/>
          </w:tcPr>
          <w:p w14:paraId="014C4577" w14:textId="70D9DF58" w:rsidR="003C142C" w:rsidRDefault="003C142C">
            <w:pPr>
              <w:rPr>
                <w:rFonts w:ascii="Arial" w:hAnsi="Arial" w:cs="Arial"/>
                <w:sz w:val="20"/>
                <w:szCs w:val="20"/>
              </w:rPr>
            </w:pPr>
            <w:r>
              <w:rPr>
                <w:rFonts w:ascii="Arial" w:hAnsi="Arial" w:cs="Arial"/>
                <w:sz w:val="20"/>
                <w:szCs w:val="20"/>
              </w:rPr>
              <w:t>Practicum</w:t>
            </w:r>
          </w:p>
          <w:p w14:paraId="6611AA43" w14:textId="2F2A46B3" w:rsidR="003C142C" w:rsidRDefault="003C142C">
            <w:pPr>
              <w:rPr>
                <w:rFonts w:ascii="Arial" w:hAnsi="Arial" w:cs="Arial"/>
                <w:sz w:val="20"/>
                <w:szCs w:val="20"/>
              </w:rPr>
            </w:pPr>
            <w:r>
              <w:rPr>
                <w:rFonts w:ascii="Arial" w:hAnsi="Arial" w:cs="Arial"/>
                <w:sz w:val="20"/>
                <w:szCs w:val="20"/>
              </w:rPr>
              <w:t>Observing a mentor or another teacher during teaching practice</w:t>
            </w:r>
          </w:p>
          <w:p w14:paraId="4EBDC9D8" w14:textId="10AC8041" w:rsidR="003C142C" w:rsidRDefault="003C142C">
            <w:pPr>
              <w:rPr>
                <w:rFonts w:ascii="Arial" w:hAnsi="Arial" w:cs="Arial"/>
                <w:sz w:val="20"/>
                <w:szCs w:val="20"/>
              </w:rPr>
            </w:pPr>
            <w:r>
              <w:rPr>
                <w:rFonts w:ascii="Arial" w:hAnsi="Arial" w:cs="Arial"/>
                <w:sz w:val="20"/>
                <w:szCs w:val="20"/>
              </w:rPr>
              <w:t>J</w:t>
            </w:r>
            <w:r w:rsidRPr="00CD69C3">
              <w:rPr>
                <w:rFonts w:ascii="Arial" w:hAnsi="Arial" w:cs="Arial"/>
                <w:sz w:val="20"/>
                <w:szCs w:val="20"/>
              </w:rPr>
              <w:t>ointly plan a</w:t>
            </w:r>
            <w:r>
              <w:rPr>
                <w:rFonts w:ascii="Arial" w:hAnsi="Arial" w:cs="Arial"/>
                <w:sz w:val="20"/>
                <w:szCs w:val="20"/>
              </w:rPr>
              <w:t>nd deliver a</w:t>
            </w:r>
            <w:r w:rsidRPr="00CD69C3">
              <w:rPr>
                <w:rFonts w:ascii="Arial" w:hAnsi="Arial" w:cs="Arial"/>
                <w:sz w:val="20"/>
                <w:szCs w:val="20"/>
              </w:rPr>
              <w:t xml:space="preserve"> session</w:t>
            </w:r>
            <w:r>
              <w:rPr>
                <w:rFonts w:ascii="Arial" w:hAnsi="Arial" w:cs="Arial"/>
                <w:sz w:val="20"/>
                <w:szCs w:val="20"/>
              </w:rPr>
              <w:t xml:space="preserve"> with their mentor or teacher educator (See Burstein’s (2009) Professor-in-Residence model)</w:t>
            </w:r>
          </w:p>
          <w:p w14:paraId="44C0EA7F" w14:textId="7ACD6CAF" w:rsidR="003C142C" w:rsidRDefault="003C142C">
            <w:pPr>
              <w:rPr>
                <w:rFonts w:ascii="Arial" w:hAnsi="Arial" w:cs="Arial"/>
                <w:sz w:val="20"/>
                <w:szCs w:val="20"/>
              </w:rPr>
            </w:pPr>
            <w:r>
              <w:rPr>
                <w:rFonts w:ascii="Arial" w:hAnsi="Arial" w:cs="Arial"/>
                <w:sz w:val="20"/>
                <w:szCs w:val="20"/>
              </w:rPr>
              <w:t>Target setting</w:t>
            </w:r>
          </w:p>
          <w:p w14:paraId="35CF65BE" w14:textId="423CCC7B" w:rsidR="003C142C" w:rsidRPr="000A2DED" w:rsidRDefault="003C142C">
            <w:pPr>
              <w:rPr>
                <w:rFonts w:ascii="Arial" w:hAnsi="Arial" w:cs="Arial"/>
                <w:sz w:val="20"/>
                <w:szCs w:val="20"/>
              </w:rPr>
            </w:pPr>
            <w:r>
              <w:rPr>
                <w:rFonts w:ascii="Arial" w:hAnsi="Arial" w:cs="Arial"/>
                <w:sz w:val="20"/>
                <w:szCs w:val="20"/>
              </w:rPr>
              <w:t>Reviewing teaching materials</w:t>
            </w:r>
          </w:p>
          <w:p w14:paraId="61F55249" w14:textId="77777777" w:rsidR="003C142C" w:rsidRPr="000A2DED" w:rsidRDefault="003C142C">
            <w:pPr>
              <w:rPr>
                <w:rFonts w:ascii="Arial" w:hAnsi="Arial" w:cs="Arial"/>
                <w:sz w:val="20"/>
                <w:szCs w:val="20"/>
              </w:rPr>
            </w:pPr>
            <w:r w:rsidRPr="000A2DED">
              <w:rPr>
                <w:rFonts w:ascii="Arial" w:hAnsi="Arial" w:cs="Arial"/>
                <w:sz w:val="20"/>
                <w:szCs w:val="20"/>
              </w:rPr>
              <w:t>Reflection.</w:t>
            </w:r>
          </w:p>
        </w:tc>
        <w:tc>
          <w:tcPr>
            <w:tcW w:w="2409" w:type="dxa"/>
          </w:tcPr>
          <w:p w14:paraId="4BE26AD5" w14:textId="77777777" w:rsidR="003C142C" w:rsidRDefault="003C142C">
            <w:pPr>
              <w:rPr>
                <w:rFonts w:ascii="Arial" w:hAnsi="Arial" w:cs="Arial"/>
                <w:sz w:val="20"/>
                <w:szCs w:val="20"/>
              </w:rPr>
            </w:pPr>
          </w:p>
        </w:tc>
      </w:tr>
      <w:tr w:rsidR="007D2132" w:rsidRPr="000A2DED" w14:paraId="2332D75E" w14:textId="48293815" w:rsidTr="003349C6">
        <w:tc>
          <w:tcPr>
            <w:tcW w:w="1606" w:type="dxa"/>
          </w:tcPr>
          <w:p w14:paraId="7B3C7223" w14:textId="264A2585" w:rsidR="003C142C" w:rsidRPr="000A2DED" w:rsidRDefault="007D2132">
            <w:pPr>
              <w:rPr>
                <w:rFonts w:ascii="Arial" w:hAnsi="Arial" w:cs="Arial"/>
                <w:sz w:val="20"/>
                <w:szCs w:val="20"/>
              </w:rPr>
            </w:pPr>
            <w:r>
              <w:rPr>
                <w:rFonts w:ascii="Arial" w:hAnsi="Arial" w:cs="Arial"/>
                <w:sz w:val="20"/>
                <w:szCs w:val="20"/>
              </w:rPr>
              <w:t>Sophisticated</w:t>
            </w:r>
          </w:p>
        </w:tc>
        <w:tc>
          <w:tcPr>
            <w:tcW w:w="1224" w:type="dxa"/>
          </w:tcPr>
          <w:p w14:paraId="3399D44A" w14:textId="54B69344" w:rsidR="003C142C" w:rsidRPr="000A2DED" w:rsidRDefault="003C142C">
            <w:pPr>
              <w:rPr>
                <w:rFonts w:ascii="Arial" w:hAnsi="Arial" w:cs="Arial"/>
                <w:sz w:val="20"/>
                <w:szCs w:val="20"/>
              </w:rPr>
            </w:pPr>
            <w:r w:rsidRPr="000A2DED">
              <w:rPr>
                <w:rFonts w:ascii="Arial" w:hAnsi="Arial" w:cs="Arial"/>
                <w:sz w:val="20"/>
                <w:szCs w:val="20"/>
              </w:rPr>
              <w:t>Student as teacher and learner</w:t>
            </w:r>
          </w:p>
        </w:tc>
        <w:tc>
          <w:tcPr>
            <w:tcW w:w="4661" w:type="dxa"/>
          </w:tcPr>
          <w:p w14:paraId="2F71DEEB" w14:textId="6702C613" w:rsidR="003C142C" w:rsidRPr="000A2DED" w:rsidRDefault="003349C6" w:rsidP="003A29E9">
            <w:pPr>
              <w:rPr>
                <w:rFonts w:ascii="Arial" w:hAnsi="Arial" w:cs="Arial"/>
                <w:sz w:val="20"/>
                <w:szCs w:val="20"/>
              </w:rPr>
            </w:pPr>
            <w:r>
              <w:rPr>
                <w:rFonts w:ascii="Arial" w:hAnsi="Arial" w:cs="Arial"/>
                <w:sz w:val="20"/>
                <w:szCs w:val="20"/>
              </w:rPr>
              <w:t>A</w:t>
            </w:r>
            <w:r w:rsidRPr="003349C6">
              <w:rPr>
                <w:rFonts w:ascii="Arial" w:hAnsi="Arial" w:cs="Arial"/>
                <w:sz w:val="20"/>
                <w:szCs w:val="20"/>
              </w:rPr>
              <w:t xml:space="preserve">cknowledges the unique position a student teacher holds: they are both a student who is learning to teach and a teacher who is applying this learning to their teaching as they create their own personal pedagogy. However, this can only happens if the student teacher has a disposition to see themselves as a “teacher-learner” (Taylor, 2008, p.78).  </w:t>
            </w:r>
          </w:p>
        </w:tc>
        <w:tc>
          <w:tcPr>
            <w:tcW w:w="1025" w:type="dxa"/>
          </w:tcPr>
          <w:p w14:paraId="6B536035" w14:textId="39A987DC" w:rsidR="003C142C" w:rsidRDefault="003C142C">
            <w:pPr>
              <w:rPr>
                <w:rFonts w:ascii="Arial" w:hAnsi="Arial" w:cs="Arial"/>
                <w:sz w:val="20"/>
                <w:szCs w:val="20"/>
              </w:rPr>
            </w:pPr>
            <w:r>
              <w:rPr>
                <w:rFonts w:ascii="Arial" w:hAnsi="Arial" w:cs="Arial"/>
                <w:sz w:val="20"/>
                <w:szCs w:val="20"/>
              </w:rPr>
              <w:t>Student teacher</w:t>
            </w:r>
          </w:p>
          <w:p w14:paraId="789EB85A" w14:textId="77777777" w:rsidR="003C142C" w:rsidRDefault="003C142C">
            <w:pPr>
              <w:rPr>
                <w:rFonts w:ascii="Arial" w:hAnsi="Arial" w:cs="Arial"/>
                <w:sz w:val="20"/>
                <w:szCs w:val="20"/>
              </w:rPr>
            </w:pPr>
          </w:p>
          <w:p w14:paraId="7C13527F" w14:textId="77777777" w:rsidR="003C142C" w:rsidRPr="000A2DED" w:rsidRDefault="003C142C">
            <w:pPr>
              <w:rPr>
                <w:rFonts w:ascii="Arial" w:hAnsi="Arial" w:cs="Arial"/>
                <w:sz w:val="20"/>
                <w:szCs w:val="20"/>
              </w:rPr>
            </w:pPr>
          </w:p>
        </w:tc>
        <w:tc>
          <w:tcPr>
            <w:tcW w:w="3023" w:type="dxa"/>
          </w:tcPr>
          <w:p w14:paraId="0C50D172" w14:textId="77777777" w:rsidR="003C142C" w:rsidRDefault="003C142C" w:rsidP="00DA5153">
            <w:pPr>
              <w:rPr>
                <w:rFonts w:ascii="Arial" w:hAnsi="Arial" w:cs="Arial"/>
                <w:sz w:val="20"/>
                <w:szCs w:val="20"/>
              </w:rPr>
            </w:pPr>
            <w:proofErr w:type="spellStart"/>
            <w:r>
              <w:rPr>
                <w:rFonts w:ascii="Arial" w:hAnsi="Arial" w:cs="Arial"/>
                <w:sz w:val="20"/>
                <w:szCs w:val="20"/>
              </w:rPr>
              <w:t>Brookfieldian</w:t>
            </w:r>
            <w:proofErr w:type="spellEnd"/>
            <w:r>
              <w:rPr>
                <w:rFonts w:ascii="Arial" w:hAnsi="Arial" w:cs="Arial"/>
                <w:sz w:val="20"/>
                <w:szCs w:val="20"/>
              </w:rPr>
              <w:t xml:space="preserve"> style r</w:t>
            </w:r>
            <w:r w:rsidRPr="000A2DED">
              <w:rPr>
                <w:rFonts w:ascii="Arial" w:hAnsi="Arial" w:cs="Arial"/>
                <w:sz w:val="20"/>
                <w:szCs w:val="20"/>
              </w:rPr>
              <w:t>eflection</w:t>
            </w:r>
            <w:r>
              <w:rPr>
                <w:rFonts w:ascii="Arial" w:hAnsi="Arial" w:cs="Arial"/>
                <w:sz w:val="20"/>
                <w:szCs w:val="20"/>
              </w:rPr>
              <w:t>.</w:t>
            </w:r>
          </w:p>
          <w:p w14:paraId="137FA6E8" w14:textId="77777777" w:rsidR="003C142C" w:rsidRPr="000A2DED" w:rsidRDefault="003C142C" w:rsidP="00AB6ECA">
            <w:pPr>
              <w:rPr>
                <w:rFonts w:ascii="Arial" w:hAnsi="Arial" w:cs="Arial"/>
                <w:sz w:val="20"/>
                <w:szCs w:val="20"/>
              </w:rPr>
            </w:pPr>
            <w:r>
              <w:rPr>
                <w:rFonts w:ascii="Arial" w:hAnsi="Arial" w:cs="Arial"/>
                <w:sz w:val="20"/>
                <w:szCs w:val="20"/>
              </w:rPr>
              <w:t>Observing other student teachers teach or mentors teach</w:t>
            </w:r>
          </w:p>
        </w:tc>
        <w:tc>
          <w:tcPr>
            <w:tcW w:w="2409" w:type="dxa"/>
          </w:tcPr>
          <w:p w14:paraId="70595B23" w14:textId="6DB9D41D" w:rsidR="003C142C" w:rsidRDefault="003C142C" w:rsidP="003C142C">
            <w:pPr>
              <w:rPr>
                <w:rFonts w:ascii="Arial" w:hAnsi="Arial" w:cs="Arial"/>
                <w:sz w:val="20"/>
                <w:szCs w:val="20"/>
              </w:rPr>
            </w:pPr>
          </w:p>
        </w:tc>
      </w:tr>
    </w:tbl>
    <w:p w14:paraId="707CF6C1" w14:textId="77777777" w:rsidR="004A5EF4" w:rsidRDefault="004A5EF4">
      <w:pPr>
        <w:rPr>
          <w:rFonts w:ascii="Arial" w:hAnsi="Arial" w:cs="Arial"/>
          <w:sz w:val="20"/>
          <w:szCs w:val="20"/>
        </w:rPr>
      </w:pPr>
    </w:p>
    <w:p w14:paraId="0FBE783D" w14:textId="4FB6CDA5" w:rsidR="003016DF" w:rsidRPr="003016DF" w:rsidRDefault="003016DF">
      <w:pPr>
        <w:rPr>
          <w:rFonts w:ascii="Arial" w:hAnsi="Arial" w:cs="Arial"/>
          <w:sz w:val="20"/>
          <w:szCs w:val="20"/>
        </w:rPr>
      </w:pPr>
      <w:r w:rsidRPr="003016DF">
        <w:rPr>
          <w:rFonts w:ascii="Arial" w:hAnsi="Arial" w:cs="Arial"/>
          <w:sz w:val="20"/>
          <w:szCs w:val="20"/>
        </w:rPr>
        <w:lastRenderedPageBreak/>
        <w:t xml:space="preserve">Burn, </w:t>
      </w:r>
      <w:proofErr w:type="spellStart"/>
      <w:r w:rsidRPr="003016DF">
        <w:rPr>
          <w:rFonts w:ascii="Arial" w:hAnsi="Arial" w:cs="Arial"/>
          <w:sz w:val="20"/>
          <w:szCs w:val="20"/>
        </w:rPr>
        <w:t>Hagger</w:t>
      </w:r>
      <w:proofErr w:type="spellEnd"/>
      <w:r w:rsidRPr="003016DF">
        <w:rPr>
          <w:rFonts w:ascii="Arial" w:hAnsi="Arial" w:cs="Arial"/>
          <w:sz w:val="20"/>
          <w:szCs w:val="20"/>
        </w:rPr>
        <w:t xml:space="preserve"> and Mutton’s (2015) </w:t>
      </w:r>
      <w:r>
        <w:rPr>
          <w:rFonts w:ascii="Arial" w:hAnsi="Arial" w:cs="Arial"/>
          <w:sz w:val="20"/>
          <w:szCs w:val="20"/>
        </w:rPr>
        <w:t>three</w:t>
      </w:r>
      <w:r w:rsidRPr="003016DF">
        <w:rPr>
          <w:rFonts w:ascii="Arial" w:hAnsi="Arial" w:cs="Arial"/>
          <w:sz w:val="20"/>
          <w:szCs w:val="20"/>
        </w:rPr>
        <w:t xml:space="preserve"> types of knowledge teachers need to teach:</w:t>
      </w:r>
    </w:p>
    <w:p w14:paraId="61B4DF18" w14:textId="544F48CC" w:rsidR="00000000" w:rsidRPr="003016DF" w:rsidRDefault="003D23B3" w:rsidP="003016DF">
      <w:pPr>
        <w:numPr>
          <w:ilvl w:val="0"/>
          <w:numId w:val="2"/>
        </w:numPr>
        <w:rPr>
          <w:rFonts w:ascii="Arial" w:hAnsi="Arial" w:cs="Arial"/>
          <w:sz w:val="20"/>
          <w:szCs w:val="20"/>
        </w:rPr>
      </w:pPr>
      <w:r w:rsidRPr="003016DF">
        <w:rPr>
          <w:rFonts w:ascii="Arial" w:hAnsi="Arial" w:cs="Arial"/>
          <w:sz w:val="20"/>
          <w:szCs w:val="20"/>
        </w:rPr>
        <w:t>knowledge of students</w:t>
      </w:r>
      <w:r w:rsidR="003016DF">
        <w:rPr>
          <w:rFonts w:ascii="Arial" w:hAnsi="Arial" w:cs="Arial"/>
          <w:sz w:val="20"/>
          <w:szCs w:val="20"/>
        </w:rPr>
        <w:t>, what motivates them</w:t>
      </w:r>
      <w:r w:rsidRPr="003016DF">
        <w:rPr>
          <w:rFonts w:ascii="Arial" w:hAnsi="Arial" w:cs="Arial"/>
          <w:sz w:val="20"/>
          <w:szCs w:val="20"/>
        </w:rPr>
        <w:t xml:space="preserve"> and how they learn; </w:t>
      </w:r>
    </w:p>
    <w:p w14:paraId="72DF7C4C" w14:textId="77777777" w:rsidR="00000000" w:rsidRPr="003016DF" w:rsidRDefault="003D23B3" w:rsidP="003016DF">
      <w:pPr>
        <w:numPr>
          <w:ilvl w:val="0"/>
          <w:numId w:val="2"/>
        </w:numPr>
        <w:rPr>
          <w:rFonts w:ascii="Arial" w:hAnsi="Arial" w:cs="Arial"/>
          <w:sz w:val="20"/>
          <w:szCs w:val="20"/>
        </w:rPr>
      </w:pPr>
      <w:r w:rsidRPr="003016DF">
        <w:rPr>
          <w:rFonts w:ascii="Arial" w:hAnsi="Arial" w:cs="Arial"/>
          <w:sz w:val="20"/>
          <w:szCs w:val="20"/>
        </w:rPr>
        <w:t xml:space="preserve">knowledge of the subject being taught and the  curriculum; </w:t>
      </w:r>
    </w:p>
    <w:p w14:paraId="4C2F1321" w14:textId="77777777" w:rsidR="003016DF" w:rsidRPr="003016DF" w:rsidRDefault="003D23B3" w:rsidP="003016DF">
      <w:pPr>
        <w:numPr>
          <w:ilvl w:val="0"/>
          <w:numId w:val="2"/>
        </w:numPr>
        <w:rPr>
          <w:rFonts w:ascii="Arial" w:hAnsi="Arial" w:cs="Arial"/>
          <w:sz w:val="20"/>
          <w:szCs w:val="20"/>
        </w:rPr>
      </w:pPr>
      <w:proofErr w:type="gramStart"/>
      <w:r w:rsidRPr="003016DF">
        <w:rPr>
          <w:rFonts w:ascii="Arial" w:hAnsi="Arial" w:cs="Arial"/>
          <w:sz w:val="20"/>
          <w:szCs w:val="20"/>
        </w:rPr>
        <w:t>knowledge</w:t>
      </w:r>
      <w:proofErr w:type="gramEnd"/>
      <w:r w:rsidRPr="003016DF">
        <w:rPr>
          <w:rFonts w:ascii="Arial" w:hAnsi="Arial" w:cs="Arial"/>
          <w:sz w:val="20"/>
          <w:szCs w:val="20"/>
        </w:rPr>
        <w:t xml:space="preserve"> of how to teach the subject and the curriculum. </w:t>
      </w:r>
    </w:p>
    <w:p w14:paraId="05134081" w14:textId="544BD3B0" w:rsidR="0033223E" w:rsidRPr="003016DF" w:rsidRDefault="00FD60FC" w:rsidP="003016DF">
      <w:pPr>
        <w:rPr>
          <w:rFonts w:ascii="Arial" w:hAnsi="Arial" w:cs="Arial"/>
          <w:b/>
          <w:sz w:val="20"/>
          <w:szCs w:val="20"/>
        </w:rPr>
      </w:pPr>
      <w:r w:rsidRPr="003016DF">
        <w:rPr>
          <w:rFonts w:ascii="Arial" w:hAnsi="Arial" w:cs="Arial"/>
          <w:b/>
          <w:sz w:val="20"/>
          <w:szCs w:val="20"/>
        </w:rPr>
        <w:t>References</w:t>
      </w:r>
    </w:p>
    <w:p w14:paraId="0D44F636" w14:textId="77777777" w:rsidR="00FD60FC" w:rsidRPr="00FD60FC" w:rsidRDefault="00FD60FC" w:rsidP="00FD60FC">
      <w:pPr>
        <w:rPr>
          <w:rFonts w:ascii="Arial" w:hAnsi="Arial" w:cs="Arial"/>
          <w:sz w:val="20"/>
          <w:szCs w:val="20"/>
        </w:rPr>
      </w:pPr>
      <w:r w:rsidRPr="00FD60FC">
        <w:rPr>
          <w:rFonts w:ascii="Arial" w:hAnsi="Arial" w:cs="Arial"/>
          <w:sz w:val="20"/>
          <w:szCs w:val="20"/>
        </w:rPr>
        <w:t xml:space="preserve">Burn, K., </w:t>
      </w:r>
      <w:proofErr w:type="spellStart"/>
      <w:r w:rsidRPr="00FD60FC">
        <w:rPr>
          <w:rFonts w:ascii="Arial" w:hAnsi="Arial" w:cs="Arial"/>
          <w:sz w:val="20"/>
          <w:szCs w:val="20"/>
        </w:rPr>
        <w:t>Hagger</w:t>
      </w:r>
      <w:proofErr w:type="spellEnd"/>
      <w:r w:rsidRPr="00FD60FC">
        <w:rPr>
          <w:rFonts w:ascii="Arial" w:hAnsi="Arial" w:cs="Arial"/>
          <w:sz w:val="20"/>
          <w:szCs w:val="20"/>
        </w:rPr>
        <w:t xml:space="preserve">, H., Mutton, T., (2015) </w:t>
      </w:r>
      <w:r w:rsidRPr="00FD60FC">
        <w:rPr>
          <w:rFonts w:ascii="Arial" w:hAnsi="Arial" w:cs="Arial"/>
          <w:i/>
          <w:sz w:val="20"/>
          <w:szCs w:val="20"/>
        </w:rPr>
        <w:t>Beginning teachers’ learning: making experience count.</w:t>
      </w:r>
      <w:r w:rsidRPr="00FD60FC">
        <w:rPr>
          <w:rFonts w:ascii="Arial" w:hAnsi="Arial" w:cs="Arial"/>
          <w:sz w:val="20"/>
          <w:szCs w:val="20"/>
        </w:rPr>
        <w:t xml:space="preserve"> Northwich: Critical Publishing</w:t>
      </w:r>
    </w:p>
    <w:p w14:paraId="4AE83186" w14:textId="676C24EA" w:rsidR="00FD60FC" w:rsidRPr="00FD60FC" w:rsidRDefault="00FD60FC" w:rsidP="00FD60FC">
      <w:pPr>
        <w:rPr>
          <w:rFonts w:ascii="Arial" w:hAnsi="Arial" w:cs="Arial"/>
          <w:sz w:val="20"/>
          <w:szCs w:val="20"/>
        </w:rPr>
      </w:pPr>
      <w:r w:rsidRPr="00FD60FC">
        <w:rPr>
          <w:rFonts w:ascii="Arial" w:hAnsi="Arial" w:cs="Arial"/>
          <w:sz w:val="20"/>
          <w:szCs w:val="20"/>
        </w:rPr>
        <w:t xml:space="preserve">Taylor, A. (2008). Developing understanding about learning to teach in a university-schools partnership in England, </w:t>
      </w:r>
      <w:r w:rsidRPr="00FD60FC">
        <w:rPr>
          <w:rFonts w:ascii="Arial" w:hAnsi="Arial" w:cs="Arial"/>
          <w:i/>
          <w:sz w:val="20"/>
          <w:szCs w:val="20"/>
        </w:rPr>
        <w:t>British Educational Research Journal</w:t>
      </w:r>
      <w:r w:rsidRPr="00FD60FC">
        <w:rPr>
          <w:rFonts w:ascii="Arial" w:hAnsi="Arial" w:cs="Arial"/>
          <w:sz w:val="20"/>
          <w:szCs w:val="20"/>
        </w:rPr>
        <w:t>. 34 (1) pp63-90</w:t>
      </w:r>
    </w:p>
    <w:p w14:paraId="5229D179" w14:textId="77777777" w:rsidR="00FD60FC" w:rsidRDefault="00FD60FC">
      <w:pPr>
        <w:rPr>
          <w:rFonts w:ascii="Arial" w:hAnsi="Arial" w:cs="Arial"/>
          <w:sz w:val="20"/>
          <w:szCs w:val="20"/>
        </w:rPr>
      </w:pPr>
    </w:p>
    <w:sectPr w:rsidR="00FD60FC" w:rsidSect="00C35548">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5729C" w14:textId="77777777" w:rsidR="003D23B3" w:rsidRDefault="003D23B3" w:rsidP="000A2DED">
      <w:pPr>
        <w:spacing w:after="0" w:line="240" w:lineRule="auto"/>
      </w:pPr>
      <w:r>
        <w:separator/>
      </w:r>
    </w:p>
  </w:endnote>
  <w:endnote w:type="continuationSeparator" w:id="0">
    <w:p w14:paraId="5987AE0F" w14:textId="77777777" w:rsidR="003D23B3" w:rsidRDefault="003D23B3" w:rsidP="000A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561C3" w14:textId="43A2DCD9" w:rsidR="000A2DED" w:rsidRDefault="00082979">
    <w:pPr>
      <w:pStyle w:val="Footer"/>
    </w:pPr>
    <w:r>
      <w:t xml:space="preserve">David Powell </w:t>
    </w:r>
    <w:r w:rsidR="00FD6DF3">
      <w:t>PGCHE 18</w:t>
    </w:r>
    <w:r>
      <w:t>.9.1</w:t>
    </w:r>
    <w:r w:rsidR="00FD6DF3">
      <w:t>9</w:t>
    </w:r>
    <w:r w:rsidR="007022AA">
      <w:tab/>
    </w:r>
    <w:r w:rsidR="007022AA">
      <w:tab/>
    </w:r>
    <w:r w:rsidR="007022AA">
      <w:tab/>
    </w:r>
    <w:r w:rsidR="007022AA">
      <w:tab/>
    </w:r>
    <w:r w:rsidR="007022AA">
      <w:tab/>
    </w:r>
    <w:r w:rsidR="007022AA">
      <w:tab/>
    </w:r>
    <w:r w:rsidR="007022AA">
      <w:tab/>
    </w:r>
    <w:r w:rsidR="007022AA">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6B751" w14:textId="77777777" w:rsidR="003D23B3" w:rsidRDefault="003D23B3" w:rsidP="000A2DED">
      <w:pPr>
        <w:spacing w:after="0" w:line="240" w:lineRule="auto"/>
      </w:pPr>
      <w:r>
        <w:separator/>
      </w:r>
    </w:p>
  </w:footnote>
  <w:footnote w:type="continuationSeparator" w:id="0">
    <w:p w14:paraId="7A9D477D" w14:textId="77777777" w:rsidR="003D23B3" w:rsidRDefault="003D23B3" w:rsidP="000A2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B4ACB"/>
    <w:multiLevelType w:val="hybridMultilevel"/>
    <w:tmpl w:val="25626630"/>
    <w:lvl w:ilvl="0" w:tplc="D2B883A2">
      <w:start w:val="1"/>
      <w:numFmt w:val="decimal"/>
      <w:lvlText w:val="%1."/>
      <w:lvlJc w:val="left"/>
      <w:pPr>
        <w:tabs>
          <w:tab w:val="num" w:pos="720"/>
        </w:tabs>
        <w:ind w:left="720" w:hanging="360"/>
      </w:pPr>
    </w:lvl>
    <w:lvl w:ilvl="1" w:tplc="6AC68C8E" w:tentative="1">
      <w:start w:val="1"/>
      <w:numFmt w:val="decimal"/>
      <w:lvlText w:val="%2."/>
      <w:lvlJc w:val="left"/>
      <w:pPr>
        <w:tabs>
          <w:tab w:val="num" w:pos="1440"/>
        </w:tabs>
        <w:ind w:left="1440" w:hanging="360"/>
      </w:pPr>
    </w:lvl>
    <w:lvl w:ilvl="2" w:tplc="CA16682A" w:tentative="1">
      <w:start w:val="1"/>
      <w:numFmt w:val="decimal"/>
      <w:lvlText w:val="%3."/>
      <w:lvlJc w:val="left"/>
      <w:pPr>
        <w:tabs>
          <w:tab w:val="num" w:pos="2160"/>
        </w:tabs>
        <w:ind w:left="2160" w:hanging="360"/>
      </w:pPr>
    </w:lvl>
    <w:lvl w:ilvl="3" w:tplc="A9084B6C" w:tentative="1">
      <w:start w:val="1"/>
      <w:numFmt w:val="decimal"/>
      <w:lvlText w:val="%4."/>
      <w:lvlJc w:val="left"/>
      <w:pPr>
        <w:tabs>
          <w:tab w:val="num" w:pos="2880"/>
        </w:tabs>
        <w:ind w:left="2880" w:hanging="360"/>
      </w:pPr>
    </w:lvl>
    <w:lvl w:ilvl="4" w:tplc="CAEA067C" w:tentative="1">
      <w:start w:val="1"/>
      <w:numFmt w:val="decimal"/>
      <w:lvlText w:val="%5."/>
      <w:lvlJc w:val="left"/>
      <w:pPr>
        <w:tabs>
          <w:tab w:val="num" w:pos="3600"/>
        </w:tabs>
        <w:ind w:left="3600" w:hanging="360"/>
      </w:pPr>
    </w:lvl>
    <w:lvl w:ilvl="5" w:tplc="2326AE04" w:tentative="1">
      <w:start w:val="1"/>
      <w:numFmt w:val="decimal"/>
      <w:lvlText w:val="%6."/>
      <w:lvlJc w:val="left"/>
      <w:pPr>
        <w:tabs>
          <w:tab w:val="num" w:pos="4320"/>
        </w:tabs>
        <w:ind w:left="4320" w:hanging="360"/>
      </w:pPr>
    </w:lvl>
    <w:lvl w:ilvl="6" w:tplc="57CCBBA2" w:tentative="1">
      <w:start w:val="1"/>
      <w:numFmt w:val="decimal"/>
      <w:lvlText w:val="%7."/>
      <w:lvlJc w:val="left"/>
      <w:pPr>
        <w:tabs>
          <w:tab w:val="num" w:pos="5040"/>
        </w:tabs>
        <w:ind w:left="5040" w:hanging="360"/>
      </w:pPr>
    </w:lvl>
    <w:lvl w:ilvl="7" w:tplc="C7B4C5F6" w:tentative="1">
      <w:start w:val="1"/>
      <w:numFmt w:val="decimal"/>
      <w:lvlText w:val="%8."/>
      <w:lvlJc w:val="left"/>
      <w:pPr>
        <w:tabs>
          <w:tab w:val="num" w:pos="5760"/>
        </w:tabs>
        <w:ind w:left="5760" w:hanging="360"/>
      </w:pPr>
    </w:lvl>
    <w:lvl w:ilvl="8" w:tplc="26F85956" w:tentative="1">
      <w:start w:val="1"/>
      <w:numFmt w:val="decimal"/>
      <w:lvlText w:val="%9."/>
      <w:lvlJc w:val="left"/>
      <w:pPr>
        <w:tabs>
          <w:tab w:val="num" w:pos="6480"/>
        </w:tabs>
        <w:ind w:left="6480" w:hanging="360"/>
      </w:pPr>
    </w:lvl>
  </w:abstractNum>
  <w:abstractNum w:abstractNumId="1" w15:restartNumberingAfterBreak="0">
    <w:nsid w:val="763C3AF1"/>
    <w:multiLevelType w:val="hybridMultilevel"/>
    <w:tmpl w:val="CCA69752"/>
    <w:lvl w:ilvl="0" w:tplc="0809000F">
      <w:start w:val="1"/>
      <w:numFmt w:val="decimal"/>
      <w:lvlText w:val="%1."/>
      <w:lvlJc w:val="left"/>
      <w:pPr>
        <w:ind w:left="790" w:hanging="360"/>
      </w:p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C5"/>
    <w:rsid w:val="000070BF"/>
    <w:rsid w:val="000806B4"/>
    <w:rsid w:val="00082979"/>
    <w:rsid w:val="000A2DED"/>
    <w:rsid w:val="00124BDF"/>
    <w:rsid w:val="0013386D"/>
    <w:rsid w:val="00203BC3"/>
    <w:rsid w:val="002212B2"/>
    <w:rsid w:val="002C01E2"/>
    <w:rsid w:val="002F2145"/>
    <w:rsid w:val="003016DF"/>
    <w:rsid w:val="0032594D"/>
    <w:rsid w:val="0033223E"/>
    <w:rsid w:val="003349C6"/>
    <w:rsid w:val="003546CD"/>
    <w:rsid w:val="00364EA3"/>
    <w:rsid w:val="00384FDD"/>
    <w:rsid w:val="003A29E9"/>
    <w:rsid w:val="003C142C"/>
    <w:rsid w:val="003D23B3"/>
    <w:rsid w:val="003F6E9B"/>
    <w:rsid w:val="00437102"/>
    <w:rsid w:val="004473DC"/>
    <w:rsid w:val="004569EA"/>
    <w:rsid w:val="004917B2"/>
    <w:rsid w:val="00491A0E"/>
    <w:rsid w:val="004A5EF4"/>
    <w:rsid w:val="004C0868"/>
    <w:rsid w:val="004E5358"/>
    <w:rsid w:val="004E681D"/>
    <w:rsid w:val="005057F6"/>
    <w:rsid w:val="0051716A"/>
    <w:rsid w:val="005205FD"/>
    <w:rsid w:val="005374A9"/>
    <w:rsid w:val="00580492"/>
    <w:rsid w:val="00584D85"/>
    <w:rsid w:val="00585D2A"/>
    <w:rsid w:val="005C2A38"/>
    <w:rsid w:val="006267EA"/>
    <w:rsid w:val="00644552"/>
    <w:rsid w:val="0065345B"/>
    <w:rsid w:val="00686099"/>
    <w:rsid w:val="006D4D64"/>
    <w:rsid w:val="007022AA"/>
    <w:rsid w:val="00732C4F"/>
    <w:rsid w:val="00743D03"/>
    <w:rsid w:val="00754024"/>
    <w:rsid w:val="0077126B"/>
    <w:rsid w:val="00773F95"/>
    <w:rsid w:val="007B3D67"/>
    <w:rsid w:val="007C25BC"/>
    <w:rsid w:val="007D2132"/>
    <w:rsid w:val="007D2AA1"/>
    <w:rsid w:val="007D42B0"/>
    <w:rsid w:val="008753CE"/>
    <w:rsid w:val="0092418B"/>
    <w:rsid w:val="00950121"/>
    <w:rsid w:val="00950F3C"/>
    <w:rsid w:val="0095134E"/>
    <w:rsid w:val="009A71B7"/>
    <w:rsid w:val="009F1ECC"/>
    <w:rsid w:val="00A4116C"/>
    <w:rsid w:val="00A4527C"/>
    <w:rsid w:val="00A722EA"/>
    <w:rsid w:val="00A8527C"/>
    <w:rsid w:val="00A85FF7"/>
    <w:rsid w:val="00A921AB"/>
    <w:rsid w:val="00AB6ECA"/>
    <w:rsid w:val="00AC08E1"/>
    <w:rsid w:val="00AD4B6F"/>
    <w:rsid w:val="00AF74D8"/>
    <w:rsid w:val="00B5119B"/>
    <w:rsid w:val="00B60AD0"/>
    <w:rsid w:val="00BB065E"/>
    <w:rsid w:val="00BE41C5"/>
    <w:rsid w:val="00C02D50"/>
    <w:rsid w:val="00C10103"/>
    <w:rsid w:val="00C35548"/>
    <w:rsid w:val="00CC6942"/>
    <w:rsid w:val="00CD69C3"/>
    <w:rsid w:val="00DA5153"/>
    <w:rsid w:val="00DE39C6"/>
    <w:rsid w:val="00E11E3B"/>
    <w:rsid w:val="00E24A60"/>
    <w:rsid w:val="00E65F3C"/>
    <w:rsid w:val="00EC0B34"/>
    <w:rsid w:val="00ED45D6"/>
    <w:rsid w:val="00EE08C5"/>
    <w:rsid w:val="00F43973"/>
    <w:rsid w:val="00F65331"/>
    <w:rsid w:val="00FC1625"/>
    <w:rsid w:val="00FC2F80"/>
    <w:rsid w:val="00FD3B5E"/>
    <w:rsid w:val="00FD60FC"/>
    <w:rsid w:val="00FD6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15D5"/>
  <w15:docId w15:val="{34941EEB-27ED-438E-B792-95CE3060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DED"/>
  </w:style>
  <w:style w:type="paragraph" w:styleId="Footer">
    <w:name w:val="footer"/>
    <w:basedOn w:val="Normal"/>
    <w:link w:val="FooterChar"/>
    <w:uiPriority w:val="99"/>
    <w:unhideWhenUsed/>
    <w:rsid w:val="000A2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DED"/>
  </w:style>
  <w:style w:type="character" w:styleId="CommentReference">
    <w:name w:val="annotation reference"/>
    <w:basedOn w:val="DefaultParagraphFont"/>
    <w:uiPriority w:val="99"/>
    <w:semiHidden/>
    <w:unhideWhenUsed/>
    <w:rsid w:val="00AB6ECA"/>
    <w:rPr>
      <w:sz w:val="16"/>
      <w:szCs w:val="16"/>
    </w:rPr>
  </w:style>
  <w:style w:type="paragraph" w:styleId="CommentText">
    <w:name w:val="annotation text"/>
    <w:basedOn w:val="Normal"/>
    <w:link w:val="CommentTextChar"/>
    <w:uiPriority w:val="99"/>
    <w:semiHidden/>
    <w:unhideWhenUsed/>
    <w:rsid w:val="00AB6ECA"/>
    <w:pPr>
      <w:spacing w:line="240" w:lineRule="auto"/>
    </w:pPr>
    <w:rPr>
      <w:sz w:val="20"/>
      <w:szCs w:val="20"/>
    </w:rPr>
  </w:style>
  <w:style w:type="character" w:customStyle="1" w:styleId="CommentTextChar">
    <w:name w:val="Comment Text Char"/>
    <w:basedOn w:val="DefaultParagraphFont"/>
    <w:link w:val="CommentText"/>
    <w:uiPriority w:val="99"/>
    <w:semiHidden/>
    <w:rsid w:val="00AB6ECA"/>
    <w:rPr>
      <w:sz w:val="20"/>
      <w:szCs w:val="20"/>
    </w:rPr>
  </w:style>
  <w:style w:type="paragraph" w:styleId="CommentSubject">
    <w:name w:val="annotation subject"/>
    <w:basedOn w:val="CommentText"/>
    <w:next w:val="CommentText"/>
    <w:link w:val="CommentSubjectChar"/>
    <w:uiPriority w:val="99"/>
    <w:semiHidden/>
    <w:unhideWhenUsed/>
    <w:rsid w:val="00AB6ECA"/>
    <w:rPr>
      <w:b/>
      <w:bCs/>
    </w:rPr>
  </w:style>
  <w:style w:type="character" w:customStyle="1" w:styleId="CommentSubjectChar">
    <w:name w:val="Comment Subject Char"/>
    <w:basedOn w:val="CommentTextChar"/>
    <w:link w:val="CommentSubject"/>
    <w:uiPriority w:val="99"/>
    <w:semiHidden/>
    <w:rsid w:val="00AB6ECA"/>
    <w:rPr>
      <w:b/>
      <w:bCs/>
      <w:sz w:val="20"/>
      <w:szCs w:val="20"/>
    </w:rPr>
  </w:style>
  <w:style w:type="paragraph" w:styleId="BalloonText">
    <w:name w:val="Balloon Text"/>
    <w:basedOn w:val="Normal"/>
    <w:link w:val="BalloonTextChar"/>
    <w:uiPriority w:val="99"/>
    <w:semiHidden/>
    <w:unhideWhenUsed/>
    <w:rsid w:val="00AB6E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E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698902">
      <w:bodyDiv w:val="1"/>
      <w:marLeft w:val="0"/>
      <w:marRight w:val="0"/>
      <w:marTop w:val="0"/>
      <w:marBottom w:val="0"/>
      <w:divBdr>
        <w:top w:val="none" w:sz="0" w:space="0" w:color="auto"/>
        <w:left w:val="none" w:sz="0" w:space="0" w:color="auto"/>
        <w:bottom w:val="none" w:sz="0" w:space="0" w:color="auto"/>
        <w:right w:val="none" w:sz="0" w:space="0" w:color="auto"/>
      </w:divBdr>
      <w:divsChild>
        <w:div w:id="80613693">
          <w:marLeft w:val="720"/>
          <w:marRight w:val="0"/>
          <w:marTop w:val="115"/>
          <w:marBottom w:val="0"/>
          <w:divBdr>
            <w:top w:val="none" w:sz="0" w:space="0" w:color="auto"/>
            <w:left w:val="none" w:sz="0" w:space="0" w:color="auto"/>
            <w:bottom w:val="none" w:sz="0" w:space="0" w:color="auto"/>
            <w:right w:val="none" w:sz="0" w:space="0" w:color="auto"/>
          </w:divBdr>
        </w:div>
        <w:div w:id="672269726">
          <w:marLeft w:val="720"/>
          <w:marRight w:val="0"/>
          <w:marTop w:val="115"/>
          <w:marBottom w:val="0"/>
          <w:divBdr>
            <w:top w:val="none" w:sz="0" w:space="0" w:color="auto"/>
            <w:left w:val="none" w:sz="0" w:space="0" w:color="auto"/>
            <w:bottom w:val="none" w:sz="0" w:space="0" w:color="auto"/>
            <w:right w:val="none" w:sz="0" w:space="0" w:color="auto"/>
          </w:divBdr>
        </w:div>
        <w:div w:id="1068040757">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1DB7B-6796-43E6-8C3E-8B41D9C0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David Powell</cp:lastModifiedBy>
  <cp:revision>5</cp:revision>
  <cp:lastPrinted>2019-09-18T16:44:00Z</cp:lastPrinted>
  <dcterms:created xsi:type="dcterms:W3CDTF">2020-11-03T11:58:00Z</dcterms:created>
  <dcterms:modified xsi:type="dcterms:W3CDTF">2020-11-03T12:09:00Z</dcterms:modified>
</cp:coreProperties>
</file>