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cncr4s1swlhz" w:id="0"/>
      <w:bookmarkEnd w:id="0"/>
      <w:r w:rsidDel="00000000" w:rsidR="00000000" w:rsidRPr="00000000">
        <w:rPr>
          <w:rtl w:val="0"/>
        </w:rPr>
      </w:r>
    </w:p>
    <w:p w:rsidR="00000000" w:rsidDel="00000000" w:rsidP="00000000" w:rsidRDefault="00000000" w:rsidRPr="00000000" w14:paraId="00000002">
      <w:pPr>
        <w:pStyle w:val="Title"/>
        <w:jc w:val="center"/>
        <w:rPr/>
      </w:pPr>
      <w:bookmarkStart w:colFirst="0" w:colLast="0" w:name="_xaoq35defd0a" w:id="1"/>
      <w:bookmarkEnd w:id="1"/>
      <w:r w:rsidDel="00000000" w:rsidR="00000000" w:rsidRPr="00000000">
        <w:rPr>
          <w:rtl w:val="0"/>
        </w:rPr>
      </w:r>
    </w:p>
    <w:p w:rsidR="00000000" w:rsidDel="00000000" w:rsidP="00000000" w:rsidRDefault="00000000" w:rsidRPr="00000000" w14:paraId="00000003">
      <w:pPr>
        <w:pStyle w:val="Title"/>
        <w:jc w:val="center"/>
        <w:rPr/>
      </w:pPr>
      <w:bookmarkStart w:colFirst="0" w:colLast="0" w:name="_f7x1ne98ipgu" w:id="2"/>
      <w:bookmarkEnd w:id="2"/>
      <w:r w:rsidDel="00000000" w:rsidR="00000000" w:rsidRPr="00000000">
        <w:rPr>
          <w:rtl w:val="0"/>
        </w:rPr>
      </w:r>
    </w:p>
    <w:p w:rsidR="00000000" w:rsidDel="00000000" w:rsidP="00000000" w:rsidRDefault="00000000" w:rsidRPr="00000000" w14:paraId="00000004">
      <w:pPr>
        <w:pStyle w:val="Title"/>
        <w:jc w:val="center"/>
        <w:rPr/>
      </w:pPr>
      <w:bookmarkStart w:colFirst="0" w:colLast="0" w:name="_pradpvbgwdwk" w:id="3"/>
      <w:bookmarkEnd w:id="3"/>
      <w:r w:rsidDel="00000000" w:rsidR="00000000" w:rsidRPr="00000000">
        <w:rPr>
          <w:rtl w:val="0"/>
        </w:rPr>
      </w:r>
    </w:p>
    <w:p w:rsidR="00000000" w:rsidDel="00000000" w:rsidP="00000000" w:rsidRDefault="00000000" w:rsidRPr="00000000" w14:paraId="00000005">
      <w:pPr>
        <w:pStyle w:val="Title"/>
        <w:jc w:val="center"/>
        <w:rPr/>
      </w:pPr>
      <w:bookmarkStart w:colFirst="0" w:colLast="0" w:name="_2kqu0g75afv5" w:id="4"/>
      <w:bookmarkEnd w:id="4"/>
      <w:r w:rsidDel="00000000" w:rsidR="00000000" w:rsidRPr="00000000">
        <w:rPr>
          <w:rtl w:val="0"/>
        </w:rPr>
      </w:r>
    </w:p>
    <w:p w:rsidR="00000000" w:rsidDel="00000000" w:rsidP="00000000" w:rsidRDefault="00000000" w:rsidRPr="00000000" w14:paraId="00000006">
      <w:pPr>
        <w:pStyle w:val="Title"/>
        <w:jc w:val="center"/>
        <w:rPr/>
      </w:pPr>
      <w:bookmarkStart w:colFirst="0" w:colLast="0" w:name="_ajsgtx5ckkzl" w:id="5"/>
      <w:bookmarkEnd w:id="5"/>
      <w:r w:rsidDel="00000000" w:rsidR="00000000" w:rsidRPr="00000000">
        <w:rPr>
          <w:rtl w:val="0"/>
        </w:rPr>
      </w:r>
    </w:p>
    <w:p w:rsidR="00000000" w:rsidDel="00000000" w:rsidP="00000000" w:rsidRDefault="00000000" w:rsidRPr="00000000" w14:paraId="00000007">
      <w:pPr>
        <w:pStyle w:val="Title"/>
        <w:jc w:val="center"/>
        <w:rPr/>
      </w:pPr>
      <w:bookmarkStart w:colFirst="0" w:colLast="0" w:name="_nxem4tj727t5" w:id="6"/>
      <w:bookmarkEnd w:id="6"/>
      <w:r w:rsidDel="00000000" w:rsidR="00000000" w:rsidRPr="00000000">
        <w:rPr>
          <w:rtl w:val="0"/>
        </w:rPr>
        <w:t xml:space="preserve">Analysis Essay on Below the Radar</w:t>
      </w:r>
    </w:p>
    <w:p w:rsidR="00000000" w:rsidDel="00000000" w:rsidP="00000000" w:rsidRDefault="00000000" w:rsidRPr="00000000" w14:paraId="00000008">
      <w:pPr>
        <w:pStyle w:val="Title"/>
        <w:jc w:val="center"/>
        <w:rPr/>
      </w:pPr>
      <w:bookmarkStart w:colFirst="0" w:colLast="0" w:name="_26da6qz9m120" w:id="7"/>
      <w:bookmarkEnd w:id="7"/>
      <w:r w:rsidDel="00000000" w:rsidR="00000000" w:rsidRPr="00000000">
        <w:rPr>
          <w:rtl w:val="0"/>
        </w:rPr>
        <w:t xml:space="preserve">Episode 81: Decolonizing Practices — with Ta7talíya Nahanee</w:t>
      </w:r>
    </w:p>
    <w:p w:rsidR="00000000" w:rsidDel="00000000" w:rsidP="00000000" w:rsidRDefault="00000000" w:rsidRPr="00000000" w14:paraId="00000009">
      <w:pPr>
        <w:pStyle w:val="Title"/>
        <w:jc w:val="center"/>
        <w:rPr/>
      </w:pPr>
      <w:bookmarkStart w:colFirst="0" w:colLast="0" w:name="_klb7htri0q28" w:id="8"/>
      <w:bookmarkEnd w:id="8"/>
      <w:r w:rsidDel="00000000" w:rsidR="00000000" w:rsidRPr="00000000">
        <w:rPr>
          <w:rtl w:val="0"/>
        </w:rPr>
      </w:r>
    </w:p>
    <w:p w:rsidR="00000000" w:rsidDel="00000000" w:rsidP="00000000" w:rsidRDefault="00000000" w:rsidRPr="00000000" w14:paraId="0000000A">
      <w:pPr>
        <w:pStyle w:val="Title"/>
        <w:jc w:val="center"/>
        <w:rPr/>
      </w:pPr>
      <w:bookmarkStart w:colFirst="0" w:colLast="0" w:name="_8fs3hfovltt8" w:id="9"/>
      <w:bookmarkEnd w:id="9"/>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jc w:val="center"/>
        <w:rPr/>
      </w:pPr>
      <w:r w:rsidDel="00000000" w:rsidR="00000000" w:rsidRPr="00000000">
        <w:rPr>
          <w:rtl w:val="0"/>
        </w:rPr>
      </w:r>
    </w:p>
    <w:p w:rsidR="00000000" w:rsidDel="00000000" w:rsidP="00000000" w:rsidRDefault="00000000" w:rsidRPr="00000000" w14:paraId="00000010">
      <w:pPr>
        <w:jc w:val="center"/>
        <w:rPr/>
      </w:pPr>
      <w:r w:rsidDel="00000000" w:rsidR="00000000" w:rsidRPr="00000000">
        <w:rPr>
          <w:rtl w:val="0"/>
        </w:rPr>
      </w:r>
    </w:p>
    <w:p w:rsidR="00000000" w:rsidDel="00000000" w:rsidP="00000000" w:rsidRDefault="00000000" w:rsidRPr="00000000" w14:paraId="00000011">
      <w:pPr>
        <w:jc w:val="center"/>
        <w:rPr/>
      </w:pPr>
      <w:r w:rsidDel="00000000" w:rsidR="00000000" w:rsidRPr="00000000">
        <w:rPr>
          <w:rtl w:val="0"/>
        </w:rPr>
      </w:r>
    </w:p>
    <w:p w:rsidR="00000000" w:rsidDel="00000000" w:rsidP="00000000" w:rsidRDefault="00000000" w:rsidRPr="00000000" w14:paraId="00000012">
      <w:pPr>
        <w:jc w:val="center"/>
        <w:rPr/>
      </w:pPr>
      <w:r w:rsidDel="00000000" w:rsidR="00000000" w:rsidRPr="00000000">
        <w:rPr>
          <w:rtl w:val="0"/>
        </w:rPr>
      </w:r>
    </w:p>
    <w:p w:rsidR="00000000" w:rsidDel="00000000" w:rsidP="00000000" w:rsidRDefault="00000000" w:rsidRPr="00000000" w14:paraId="00000013">
      <w:pPr>
        <w:jc w:val="center"/>
        <w:rPr/>
      </w:pPr>
      <w:r w:rsidDel="00000000" w:rsidR="00000000" w:rsidRPr="00000000">
        <w:rPr>
          <w:rtl w:val="0"/>
        </w:rPr>
      </w:r>
    </w:p>
    <w:p w:rsidR="00000000" w:rsidDel="00000000" w:rsidP="00000000" w:rsidRDefault="00000000" w:rsidRPr="00000000" w14:paraId="00000014">
      <w:pPr>
        <w:jc w:val="center"/>
        <w:rPr/>
      </w:pPr>
      <w:r w:rsidDel="00000000" w:rsidR="00000000" w:rsidRPr="00000000">
        <w:rPr>
          <w:rtl w:val="0"/>
        </w:rPr>
      </w:r>
    </w:p>
    <w:p w:rsidR="00000000" w:rsidDel="00000000" w:rsidP="00000000" w:rsidRDefault="00000000" w:rsidRPr="00000000" w14:paraId="00000015">
      <w:pPr>
        <w:jc w:val="center"/>
        <w:rPr/>
      </w:pPr>
      <w:r w:rsidDel="00000000" w:rsidR="00000000" w:rsidRPr="00000000">
        <w:rPr>
          <w:rtl w:val="0"/>
        </w:rPr>
      </w:r>
    </w:p>
    <w:p w:rsidR="00000000" w:rsidDel="00000000" w:rsidP="00000000" w:rsidRDefault="00000000" w:rsidRPr="00000000" w14:paraId="00000016">
      <w:pPr>
        <w:jc w:val="center"/>
        <w:rPr>
          <w:sz w:val="24"/>
          <w:szCs w:val="24"/>
        </w:rPr>
      </w:pPr>
      <w:r w:rsidDel="00000000" w:rsidR="00000000" w:rsidRPr="00000000">
        <w:rPr>
          <w:rtl w:val="0"/>
        </w:rPr>
      </w:r>
    </w:p>
    <w:p w:rsidR="00000000" w:rsidDel="00000000" w:rsidP="00000000" w:rsidRDefault="00000000" w:rsidRPr="00000000" w14:paraId="00000017">
      <w:pPr>
        <w:jc w:val="center"/>
        <w:rPr>
          <w:sz w:val="24"/>
          <w:szCs w:val="24"/>
        </w:rPr>
      </w:pPr>
      <w:r w:rsidDel="00000000" w:rsidR="00000000" w:rsidRPr="00000000">
        <w:rPr>
          <w:sz w:val="24"/>
          <w:szCs w:val="24"/>
          <w:rtl w:val="0"/>
        </w:rPr>
        <w:t xml:space="preserve">Alvin Sin</w:t>
      </w:r>
    </w:p>
    <w:p w:rsidR="00000000" w:rsidDel="00000000" w:rsidP="00000000" w:rsidRDefault="00000000" w:rsidRPr="00000000" w14:paraId="00000018">
      <w:pPr>
        <w:jc w:val="center"/>
        <w:rPr>
          <w:sz w:val="24"/>
          <w:szCs w:val="24"/>
        </w:rPr>
      </w:pPr>
      <w:r w:rsidDel="00000000" w:rsidR="00000000" w:rsidRPr="00000000">
        <w:rPr>
          <w:sz w:val="24"/>
          <w:szCs w:val="24"/>
          <w:rtl w:val="0"/>
        </w:rPr>
        <w:t xml:space="preserve">A01340325</w:t>
      </w:r>
    </w:p>
    <w:p w:rsidR="00000000" w:rsidDel="00000000" w:rsidP="00000000" w:rsidRDefault="00000000" w:rsidRPr="00000000" w14:paraId="00000019">
      <w:pPr>
        <w:jc w:val="center"/>
        <w:rPr/>
      </w:pPr>
      <w:r w:rsidDel="00000000" w:rsidR="00000000" w:rsidRPr="00000000">
        <w:rPr>
          <w:sz w:val="24"/>
          <w:szCs w:val="24"/>
          <w:rtl w:val="0"/>
        </w:rPr>
        <w:t xml:space="preserve">LIBS-7001</w:t>
      </w:r>
      <w:r w:rsidDel="00000000" w:rsidR="00000000" w:rsidRPr="00000000">
        <w:br w:type="page"/>
      </w:r>
      <w:r w:rsidDel="00000000" w:rsidR="00000000" w:rsidRPr="00000000">
        <w:rPr>
          <w:rtl w:val="0"/>
        </w:rPr>
      </w:r>
    </w:p>
    <w:p w:rsidR="00000000" w:rsidDel="00000000" w:rsidP="00000000" w:rsidRDefault="00000000" w:rsidRPr="00000000" w14:paraId="0000001A">
      <w:pPr>
        <w:jc w:val="center"/>
        <w:rPr/>
      </w:pP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sz w:val="24"/>
          <w:szCs w:val="24"/>
          <w:rtl w:val="0"/>
        </w:rPr>
        <w:t xml:space="preserve">The SFU podcast </w:t>
      </w:r>
      <w:r w:rsidDel="00000000" w:rsidR="00000000" w:rsidRPr="00000000">
        <w:rPr>
          <w:i w:val="1"/>
          <w:sz w:val="24"/>
          <w:szCs w:val="24"/>
          <w:rtl w:val="0"/>
        </w:rPr>
        <w:t xml:space="preserve">Below the Radar - Decolonizing Practices</w:t>
      </w:r>
      <w:r w:rsidDel="00000000" w:rsidR="00000000" w:rsidRPr="00000000">
        <w:rPr>
          <w:sz w:val="24"/>
          <w:szCs w:val="24"/>
          <w:rtl w:val="0"/>
        </w:rPr>
        <w:t xml:space="preserve"> with Ta7talíya Nahanee is an educational podcast that aims to amplify ideas and discussions around social topics with Indigenous ways. The main purpose of the podcast is to discuss how decolonization practices can be accessible and achievable, and it aims to raise awareness and encourage actions. In analyzing this podcast, this essay presents an analysis of two core rhetorical concepts: Arrangement of text and Genre, by using Sargent and Paraskevas’s criteria of genre classification. The podcast’s chronological arrangement starts with the personal biography, then discusses practices and tools used, and ends with reflections revolving around the topic. The purpose of this essay is to argue that the podcast’s arrangement and genre are appropriate and effective as a persuasive educational text, since it guides listeners from personal stories to practices and ends with a reflective insight, reinforcing its persuasive purpose. </w:t>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sz w:val="24"/>
          <w:szCs w:val="24"/>
          <w:rtl w:val="0"/>
        </w:rPr>
        <w:t xml:space="preserve">The podcast follows a chronological arrangement that begins with Nahanee’s profession, credibility and personal connection to the topic, which helps listeners understand the fundamentals of her perspectives, then moves towards her professional practices and working with different tools, and finally concludes with a reflection about decolonization.</w:t>
      </w:r>
      <w:r w:rsidDel="00000000" w:rsidR="00000000" w:rsidRPr="00000000">
        <w:rPr>
          <w:sz w:val="24"/>
          <w:szCs w:val="24"/>
          <w:rtl w:val="0"/>
        </w:rPr>
        <w:t xml:space="preserve"> The podcast then progresses towards practical strategies that Nahanee uses in different communities, offering examples that back up her ideas and show how they matter in real-world scenarios. The final reflection goes back to her personal experiences and strategies to a larger social issue, persuading listeners to reflect and think of why decolonization matters and how they can act towards making decolonization practice achievable. Chronology is an effective arrangement choice in this podcast, as it guides the listeners from the context to practices to reflection. Rather than using abstract and complicated arguments that will overwhelm listeners who might not be knowledgeable about this topic. This slow progression introduces concepts in logical sequence, ensuring that the listener can follow and engage with the discussion, which matches the expectation of an educational genre. </w:t>
      </w:r>
    </w:p>
    <w:p w:rsidR="00000000" w:rsidDel="00000000" w:rsidP="00000000" w:rsidRDefault="00000000" w:rsidRPr="00000000" w14:paraId="0000001E">
      <w:pPr>
        <w:rPr>
          <w:sz w:val="24"/>
          <w:szCs w:val="24"/>
        </w:rPr>
      </w:pPr>
      <w:r w:rsidDel="00000000" w:rsidR="00000000" w:rsidRPr="00000000">
        <w:rPr>
          <w:rtl w:val="0"/>
        </w:rPr>
      </w:r>
    </w:p>
    <w:p w:rsidR="00000000" w:rsidDel="00000000" w:rsidP="00000000" w:rsidRDefault="00000000" w:rsidRPr="00000000" w14:paraId="0000001F">
      <w:pPr>
        <w:rPr>
          <w:sz w:val="24"/>
          <w:szCs w:val="24"/>
        </w:rPr>
      </w:pPr>
      <w:r w:rsidDel="00000000" w:rsidR="00000000" w:rsidRPr="00000000">
        <w:rPr>
          <w:sz w:val="24"/>
          <w:szCs w:val="24"/>
          <w:rtl w:val="0"/>
        </w:rPr>
        <w:t xml:space="preserve">The podcast fits the genre of an educational piece as it aims to educate listeners about decolonization in a way that is accessible and achievable. It also functions as a hybrid subgenre, criticizing the ideas of indigenous scholars, sharing Indigenous perspectives and culture based on her own experiences and encouraging reflection and changes. This reflects what Sargent and Paraskevas (2005) call flexibility, where educational forms of writing can fulfill more than one expectation at the same time (p. 294). Listeners expect an educational podcast to be informative and provide guidance and clarity, but also bring listeners into Nahanee’s personal experience and cultural context, making the discussion more persuasive and personal. By combining these core components, the podcast extends beyond just an educational lecture to a hybrid persuasive conversation that teaches and connects through storytelling and spreads social awareness. </w:t>
      </w:r>
    </w:p>
    <w:p w:rsidR="00000000" w:rsidDel="00000000" w:rsidP="00000000" w:rsidRDefault="00000000" w:rsidRPr="00000000" w14:paraId="00000020">
      <w:pPr>
        <w:rPr>
          <w:b w:val="1"/>
          <w:i w:val="1"/>
          <w:sz w:val="24"/>
          <w:szCs w:val="24"/>
        </w:rPr>
      </w:pPr>
      <w:r w:rsidDel="00000000" w:rsidR="00000000" w:rsidRPr="00000000">
        <w:rPr>
          <w:rtl w:val="0"/>
        </w:rPr>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rPr>
          <w:sz w:val="24"/>
          <w:szCs w:val="24"/>
        </w:rPr>
      </w:pPr>
      <w:r w:rsidDel="00000000" w:rsidR="00000000" w:rsidRPr="00000000">
        <w:rPr>
          <w:rtl w:val="0"/>
        </w:rPr>
      </w:r>
    </w:p>
    <w:p w:rsidR="00000000" w:rsidDel="00000000" w:rsidP="00000000" w:rsidRDefault="00000000" w:rsidRPr="00000000" w14:paraId="00000023">
      <w:pPr>
        <w:rPr>
          <w:sz w:val="24"/>
          <w:szCs w:val="24"/>
        </w:rPr>
      </w:pPr>
      <w:r w:rsidDel="00000000" w:rsidR="00000000" w:rsidRPr="00000000">
        <w:rPr>
          <w:sz w:val="24"/>
          <w:szCs w:val="24"/>
          <w:rtl w:val="0"/>
        </w:rPr>
        <w:t xml:space="preserve">The ideas and details in the podcast show how arrangement and genre work together to achieve its persuasive educational purpose. By using a chronological arrangement, the discussion moves from biography to practices then to reflection, and this arrangement structure ensures each idea is built on top of each others. According to Sargent and Paraskevas (2005), genre is defined by purpose, audience expectations, and rhetorical situation. This podcast achieves all the criteria by using the educational interview form to organize information logically and persuasively. The hybrid use of educational talk, storytelling and reflection connects the details in ways that both inform and persuade, giving clear guidance for listeners throughout the discussion. For audiences, these connections are effective because complicated ideas are now easily understandable and underline the practical importance of decolonization practices. The impact on the listeners is not only to educate but also to persuade them to realize the importance of applying these practices in their personal lives. </w:t>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rPr/>
      </w:pPr>
      <w:r w:rsidDel="00000000" w:rsidR="00000000" w:rsidRPr="00000000">
        <w:rPr>
          <w:sz w:val="24"/>
          <w:szCs w:val="24"/>
          <w:rtl w:val="0"/>
        </w:rPr>
        <w:t xml:space="preserve">In analyzing the podcast </w:t>
      </w:r>
      <w:r w:rsidDel="00000000" w:rsidR="00000000" w:rsidRPr="00000000">
        <w:rPr>
          <w:i w:val="1"/>
          <w:sz w:val="24"/>
          <w:szCs w:val="24"/>
          <w:rtl w:val="0"/>
        </w:rPr>
        <w:t xml:space="preserve">Below the Radar - Decolonizing Practices</w:t>
      </w:r>
      <w:r w:rsidDel="00000000" w:rsidR="00000000" w:rsidRPr="00000000">
        <w:rPr>
          <w:sz w:val="24"/>
          <w:szCs w:val="24"/>
          <w:rtl w:val="0"/>
        </w:rPr>
        <w:t xml:space="preserve">, the combination of arrangement and genre is proven effective. By moving from introduction to Nahanee ’s life experience and finally reflection, it provides a reasoning path for listeners, while the hybrid genre of educational interview and reflective cultural storytelling ensures the podcast is informative and convincing. These rhetorical concepts meet the expectations of the audience by making complicated topics easy to consume and unforgettable, as well as encouraging critical thinking. Showing that arrangements and genre do not just provide structural support for the text, but also include how the audience could engage with the topic. Overall, by utilizing the arrangement and genre so successfully, this podcast fulfills its goals as both educational and persuasive. </w:t>
      </w:r>
      <w:r w:rsidDel="00000000" w:rsidR="00000000" w:rsidRPr="00000000">
        <w:br w:type="page"/>
      </w: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1"/>
        <w:jc w:val="center"/>
        <w:rPr/>
      </w:pPr>
      <w:bookmarkStart w:colFirst="0" w:colLast="0" w:name="_3ohfldkrey04" w:id="10"/>
      <w:bookmarkEnd w:id="10"/>
      <w:r w:rsidDel="00000000" w:rsidR="00000000" w:rsidRPr="00000000">
        <w:rPr>
          <w:rtl w:val="0"/>
        </w:rPr>
        <w:t xml:space="preserve">References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spacing w:after="240" w:lineRule="auto"/>
        <w:ind w:left="580" w:hanging="721.7322834645668"/>
        <w:rPr>
          <w:sz w:val="24"/>
          <w:szCs w:val="24"/>
        </w:rPr>
      </w:pPr>
      <w:r w:rsidDel="00000000" w:rsidR="00000000" w:rsidRPr="00000000">
        <w:rPr>
          <w:sz w:val="24"/>
          <w:szCs w:val="24"/>
          <w:rtl w:val="0"/>
        </w:rPr>
        <w:t xml:space="preserve">Sargent, M. E., &amp; Paraskevas, C. C. (2005). Organization and Genre. In </w:t>
      </w:r>
      <w:r w:rsidDel="00000000" w:rsidR="00000000" w:rsidRPr="00000000">
        <w:rPr>
          <w:i w:val="1"/>
          <w:sz w:val="24"/>
          <w:szCs w:val="24"/>
          <w:rtl w:val="0"/>
        </w:rPr>
        <w:t xml:space="preserve">Conversations about writing: Eavesdropping, inkshedding and joining in</w:t>
      </w:r>
      <w:r w:rsidDel="00000000" w:rsidR="00000000" w:rsidRPr="00000000">
        <w:rPr>
          <w:sz w:val="24"/>
          <w:szCs w:val="24"/>
          <w:rtl w:val="0"/>
        </w:rPr>
        <w:t xml:space="preserve"> (pp. 284–295). essay, Nelson.</w:t>
      </w:r>
    </w:p>
    <w:p w:rsidR="00000000" w:rsidDel="00000000" w:rsidP="00000000" w:rsidRDefault="00000000" w:rsidRPr="00000000" w14:paraId="0000002A">
      <w:pPr>
        <w:spacing w:after="240" w:lineRule="auto"/>
        <w:ind w:left="580" w:hanging="721.7322834645668"/>
        <w:rPr>
          <w:sz w:val="24"/>
          <w:szCs w:val="24"/>
        </w:rPr>
      </w:pPr>
      <w:r w:rsidDel="00000000" w:rsidR="00000000" w:rsidRPr="00000000">
        <w:rPr>
          <w:sz w:val="24"/>
          <w:szCs w:val="24"/>
          <w:rtl w:val="0"/>
        </w:rPr>
        <w:t xml:space="preserve">Johal, A. (Host), &amp; Nahanee, T. (Guest). (2021). Decolonizing practices (No. 120) [Audio podcast episode]. In Below the Radar. SFU’s Vancity Office of Community Engagement. https://www.sfu.ca/vancity-office-community-engagement/below-the-radar-podcast/episodes/120-ta7taliya-nahanee.html</w:t>
      </w:r>
    </w:p>
    <w:p w:rsidR="00000000" w:rsidDel="00000000" w:rsidP="00000000" w:rsidRDefault="00000000" w:rsidRPr="00000000" w14:paraId="0000002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_C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