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0AB1B" w14:textId="3009990A" w:rsidR="007D6F5F" w:rsidRDefault="00725743">
      <w:r>
        <w:t xml:space="preserve">7002 </w:t>
      </w:r>
      <w:r w:rsidR="00840593">
        <w:t xml:space="preserve">Summary Unit 7 </w:t>
      </w:r>
    </w:p>
    <w:p w14:paraId="490788C6" w14:textId="4116DE42" w:rsidR="00090C66" w:rsidRDefault="00090C66"/>
    <w:p w14:paraId="726B0E2E" w14:textId="77777777" w:rsidR="00090C66" w:rsidRDefault="00090C66" w:rsidP="00090C66">
      <w:pPr>
        <w:tabs>
          <w:tab w:val="left" w:pos="1020"/>
        </w:tabs>
        <w:spacing w:after="0" w:line="276" w:lineRule="auto"/>
        <w:rPr>
          <w:rFonts w:eastAsia="Times New Roman" w:cstheme="minorHAnsi"/>
          <w:lang w:eastAsia="en-CA"/>
        </w:rPr>
      </w:pPr>
      <w:r w:rsidRPr="00CA1F5E">
        <w:rPr>
          <w:rFonts w:eastAsia="Times New Roman" w:cstheme="minorHAnsi"/>
          <w:b/>
          <w:u w:val="single"/>
          <w:lang w:eastAsia="en-CA"/>
        </w:rPr>
        <w:t>Documentary evidence</w:t>
      </w:r>
      <w:r w:rsidRPr="00CA1F5E">
        <w:rPr>
          <w:rFonts w:eastAsia="Times New Roman" w:cstheme="minorHAnsi"/>
          <w:lang w:eastAsia="en-CA"/>
        </w:rPr>
        <w:t xml:space="preserve">: </w:t>
      </w:r>
      <w:r>
        <w:rPr>
          <w:rFonts w:eastAsia="Times New Roman" w:cstheme="minorHAnsi"/>
          <w:lang w:eastAsia="en-CA"/>
        </w:rPr>
        <w:t xml:space="preserve">(sometimes) </w:t>
      </w:r>
      <w:r w:rsidRPr="00CA1F5E">
        <w:rPr>
          <w:rFonts w:eastAsia="Times New Roman" w:cstheme="minorHAnsi"/>
          <w:lang w:eastAsia="en-CA"/>
        </w:rPr>
        <w:t>another hearsay exception</w:t>
      </w:r>
      <w:r>
        <w:rPr>
          <w:rFonts w:eastAsia="Times New Roman" w:cstheme="minorHAnsi"/>
          <w:lang w:eastAsia="en-CA"/>
        </w:rPr>
        <w:t>…</w:t>
      </w:r>
    </w:p>
    <w:p w14:paraId="0AE158E8" w14:textId="77777777" w:rsidR="00476CE6" w:rsidRDefault="00476CE6" w:rsidP="00090C66">
      <w:pPr>
        <w:tabs>
          <w:tab w:val="left" w:pos="1020"/>
        </w:tabs>
        <w:spacing w:line="276" w:lineRule="auto"/>
        <w:rPr>
          <w:rFonts w:eastAsia="Times New Roman" w:cstheme="minorHAnsi"/>
          <w:lang w:eastAsia="en-CA"/>
        </w:rPr>
      </w:pPr>
    </w:p>
    <w:p w14:paraId="6BFB5283" w14:textId="77777777" w:rsidR="000A7CDC" w:rsidRDefault="00090C66" w:rsidP="00090C66">
      <w:pPr>
        <w:tabs>
          <w:tab w:val="left" w:pos="1020"/>
        </w:tabs>
        <w:spacing w:line="276" w:lineRule="auto"/>
        <w:rPr>
          <w:rFonts w:eastAsia="Times New Roman" w:cstheme="minorHAnsi"/>
          <w:lang w:eastAsia="en-CA"/>
        </w:rPr>
      </w:pPr>
      <w:r>
        <w:rPr>
          <w:rFonts w:eastAsia="Times New Roman" w:cstheme="minorHAnsi"/>
          <w:lang w:eastAsia="en-CA"/>
        </w:rPr>
        <w:t xml:space="preserve">During an investigation, it is common for the police to gather as exhibits, documents that may have some evidentiary value in proving or disproving something in issue. The term “document” covers all things written or capable of being reduced to writing. </w:t>
      </w:r>
    </w:p>
    <w:p w14:paraId="100BEE7A" w14:textId="0D40048D" w:rsidR="00090C66" w:rsidRDefault="00090C66" w:rsidP="00090C66">
      <w:pPr>
        <w:tabs>
          <w:tab w:val="left" w:pos="1020"/>
        </w:tabs>
        <w:spacing w:line="276" w:lineRule="auto"/>
        <w:rPr>
          <w:rFonts w:eastAsia="Times New Roman" w:cstheme="minorHAnsi"/>
          <w:lang w:eastAsia="en-CA"/>
        </w:rPr>
      </w:pPr>
      <w:r>
        <w:rPr>
          <w:rFonts w:eastAsia="Times New Roman" w:cstheme="minorHAnsi"/>
          <w:lang w:eastAsia="en-CA"/>
        </w:rPr>
        <w:t>However, if the document derives from electronic data, it is the obligation of the party seeking to rely on the document to demonstrate the authenticity of the document. Canada Evidence Act section 31.1-31.8</w:t>
      </w:r>
    </w:p>
    <w:p w14:paraId="34C88A39" w14:textId="1613CDF5" w:rsidR="00090C66" w:rsidRDefault="00090C66" w:rsidP="00090C66">
      <w:pPr>
        <w:tabs>
          <w:tab w:val="left" w:pos="1020"/>
        </w:tabs>
        <w:spacing w:line="276" w:lineRule="auto"/>
        <w:rPr>
          <w:rFonts w:eastAsia="Times New Roman" w:cstheme="minorHAnsi"/>
          <w:lang w:eastAsia="en-CA"/>
        </w:rPr>
      </w:pPr>
      <w:r>
        <w:rPr>
          <w:rFonts w:eastAsia="Times New Roman" w:cstheme="minorHAnsi"/>
          <w:lang w:eastAsia="en-CA"/>
        </w:rPr>
        <w:t>Another way to refer to documents is to call them “records” because they show recorded information. It is very common for other types o</w:t>
      </w:r>
      <w:r w:rsidR="00AB4DAC">
        <w:rPr>
          <w:rFonts w:eastAsia="Times New Roman" w:cstheme="minorHAnsi"/>
          <w:lang w:eastAsia="en-CA"/>
        </w:rPr>
        <w:t>f</w:t>
      </w:r>
      <w:r>
        <w:rPr>
          <w:rFonts w:eastAsia="Times New Roman" w:cstheme="minorHAnsi"/>
          <w:lang w:eastAsia="en-CA"/>
        </w:rPr>
        <w:t xml:space="preserve"> proceedings to rely on documentary records too. </w:t>
      </w:r>
    </w:p>
    <w:p w14:paraId="0C6B86A0" w14:textId="77777777" w:rsidR="00090C66" w:rsidRDefault="00090C66" w:rsidP="00090C66">
      <w:pPr>
        <w:tabs>
          <w:tab w:val="left" w:pos="1020"/>
        </w:tabs>
        <w:spacing w:line="276" w:lineRule="auto"/>
        <w:rPr>
          <w:rFonts w:eastAsia="Times New Roman" w:cstheme="minorHAnsi"/>
          <w:lang w:eastAsia="en-CA"/>
        </w:rPr>
      </w:pPr>
      <w:r>
        <w:rPr>
          <w:rFonts w:eastAsia="Times New Roman" w:cstheme="minorHAnsi"/>
          <w:lang w:eastAsia="en-CA"/>
        </w:rPr>
        <w:t xml:space="preserve">Documents can be material as evidence because they exist, or because of what they say, or because of who possessed them. </w:t>
      </w:r>
    </w:p>
    <w:p w14:paraId="14185A68" w14:textId="77777777" w:rsidR="00090C66" w:rsidRDefault="00090C66" w:rsidP="00090C66">
      <w:pPr>
        <w:pStyle w:val="ListParagraph"/>
        <w:numPr>
          <w:ilvl w:val="0"/>
          <w:numId w:val="1"/>
        </w:numPr>
        <w:tabs>
          <w:tab w:val="left" w:pos="1020"/>
        </w:tabs>
        <w:spacing w:after="0" w:line="276" w:lineRule="auto"/>
        <w:rPr>
          <w:rFonts w:eastAsia="Times New Roman" w:cstheme="minorHAnsi"/>
          <w:lang w:eastAsia="en-CA"/>
        </w:rPr>
      </w:pPr>
      <w:r w:rsidRPr="00C926FC">
        <w:rPr>
          <w:rFonts w:eastAsia="Times New Roman" w:cstheme="minorHAnsi"/>
          <w:lang w:eastAsia="en-CA"/>
        </w:rPr>
        <w:t>That a document exists demonstrates that a record was kept of an event or fact or set of facts, which may signify that it was important to keep a written record of the event or fact(s). That someone created a statement reflecting their experience of an event may show an effort to preserve that experience</w:t>
      </w:r>
      <w:r>
        <w:rPr>
          <w:rFonts w:eastAsia="Times New Roman" w:cstheme="minorHAnsi"/>
          <w:lang w:eastAsia="en-CA"/>
        </w:rPr>
        <w:t>, that it was significant to the writer.</w:t>
      </w:r>
    </w:p>
    <w:p w14:paraId="0550F6B1" w14:textId="77777777" w:rsidR="00090C66" w:rsidRDefault="00090C66" w:rsidP="00090C66">
      <w:pPr>
        <w:pStyle w:val="ListParagraph"/>
        <w:numPr>
          <w:ilvl w:val="0"/>
          <w:numId w:val="1"/>
        </w:numPr>
        <w:tabs>
          <w:tab w:val="left" w:pos="1020"/>
        </w:tabs>
        <w:spacing w:after="0" w:line="276" w:lineRule="auto"/>
        <w:rPr>
          <w:rFonts w:eastAsia="Times New Roman" w:cstheme="minorHAnsi"/>
          <w:lang w:eastAsia="en-CA"/>
        </w:rPr>
      </w:pPr>
      <w:r>
        <w:rPr>
          <w:rFonts w:eastAsia="Times New Roman" w:cstheme="minorHAnsi"/>
          <w:lang w:eastAsia="en-CA"/>
        </w:rPr>
        <w:t xml:space="preserve">That a document “speaks” about an event or transaction or set of facts may take the place of a witness to those same circumstances. This is a hearsay characteristic. We find this in financial transactions and business transactions (see below), but it may also simply be a communication between two or more persons, or a note to oneself. </w:t>
      </w:r>
    </w:p>
    <w:p w14:paraId="0E148C8A" w14:textId="77777777" w:rsidR="00090C66" w:rsidRDefault="00090C66" w:rsidP="00090C66">
      <w:pPr>
        <w:pStyle w:val="ListParagraph"/>
        <w:numPr>
          <w:ilvl w:val="0"/>
          <w:numId w:val="1"/>
        </w:numPr>
        <w:tabs>
          <w:tab w:val="left" w:pos="1020"/>
        </w:tabs>
        <w:spacing w:line="276" w:lineRule="auto"/>
        <w:rPr>
          <w:rFonts w:eastAsia="Times New Roman" w:cstheme="minorHAnsi"/>
          <w:lang w:eastAsia="en-CA"/>
        </w:rPr>
      </w:pPr>
      <w:r>
        <w:rPr>
          <w:rFonts w:eastAsia="Times New Roman" w:cstheme="minorHAnsi"/>
          <w:lang w:eastAsia="en-CA"/>
        </w:rPr>
        <w:t xml:space="preserve">That someone possesses a document may mean that they know of its contents, or it may demonstrate a relationship to the writer or keeper of the record. It may also tend to show that someone desired to have a copy of the record. Consider someone keeping a newspaper clipping file of gang activity in the lower mainland. </w:t>
      </w:r>
    </w:p>
    <w:p w14:paraId="4560525D" w14:textId="77777777" w:rsidR="00090C66" w:rsidRPr="00C926FC" w:rsidRDefault="00090C66" w:rsidP="00090C66">
      <w:pPr>
        <w:pStyle w:val="ListParagraph"/>
        <w:tabs>
          <w:tab w:val="left" w:pos="1020"/>
        </w:tabs>
        <w:spacing w:after="0" w:line="276" w:lineRule="auto"/>
        <w:rPr>
          <w:rFonts w:eastAsia="Times New Roman" w:cstheme="minorHAnsi"/>
          <w:lang w:eastAsia="en-CA"/>
        </w:rPr>
      </w:pPr>
    </w:p>
    <w:p w14:paraId="3175AC13" w14:textId="77777777" w:rsidR="00090C66" w:rsidRDefault="00090C66" w:rsidP="00090C66">
      <w:pPr>
        <w:tabs>
          <w:tab w:val="left" w:pos="1020"/>
        </w:tabs>
        <w:spacing w:line="276" w:lineRule="auto"/>
        <w:rPr>
          <w:rFonts w:eastAsia="Times New Roman" w:cstheme="minorHAnsi"/>
          <w:lang w:eastAsia="en-CA"/>
        </w:rPr>
      </w:pPr>
      <w:r>
        <w:rPr>
          <w:rFonts w:eastAsia="Times New Roman" w:cstheme="minorHAnsi"/>
          <w:lang w:eastAsia="en-CA"/>
        </w:rPr>
        <w:t xml:space="preserve">Documents can also reflect transactions if they are </w:t>
      </w:r>
      <w:r w:rsidRPr="004863FB">
        <w:rPr>
          <w:rFonts w:eastAsia="Times New Roman" w:cstheme="minorHAnsi"/>
          <w:b/>
          <w:bCs/>
          <w:i/>
          <w:iCs/>
          <w:lang w:eastAsia="en-CA"/>
        </w:rPr>
        <w:t>financial</w:t>
      </w:r>
      <w:r>
        <w:rPr>
          <w:rFonts w:eastAsia="Times New Roman" w:cstheme="minorHAnsi"/>
          <w:lang w:eastAsia="en-CA"/>
        </w:rPr>
        <w:t xml:space="preserve"> in character. Any records from a financial institution (any institution that accepts deposits of money from the public or its members) may be admitted under section 29 of the </w:t>
      </w:r>
      <w:r w:rsidRPr="00C64A4D">
        <w:rPr>
          <w:rFonts w:eastAsia="Times New Roman" w:cstheme="minorHAnsi"/>
          <w:i/>
          <w:iCs/>
          <w:lang w:eastAsia="en-CA"/>
        </w:rPr>
        <w:t>Canada Evidence Act</w:t>
      </w:r>
      <w:r>
        <w:rPr>
          <w:rFonts w:eastAsia="Times New Roman" w:cstheme="minorHAnsi"/>
          <w:lang w:eastAsia="en-CA"/>
        </w:rPr>
        <w:t xml:space="preserve">. </w:t>
      </w:r>
    </w:p>
    <w:p w14:paraId="0A5717D1" w14:textId="77777777" w:rsidR="00090C66" w:rsidRPr="008402A5" w:rsidRDefault="00090C66" w:rsidP="00090C66">
      <w:pPr>
        <w:tabs>
          <w:tab w:val="left" w:pos="1020"/>
        </w:tabs>
        <w:spacing w:after="0" w:line="276" w:lineRule="auto"/>
        <w:ind w:left="720"/>
        <w:rPr>
          <w:rFonts w:eastAsia="Times New Roman" w:cstheme="minorHAnsi"/>
          <w:i/>
          <w:iCs/>
          <w:lang w:eastAsia="en-CA"/>
        </w:rPr>
      </w:pPr>
      <w:r w:rsidRPr="008402A5">
        <w:rPr>
          <w:rFonts w:eastAsia="Times New Roman" w:cstheme="minorHAnsi"/>
          <w:b/>
          <w:bCs/>
          <w:i/>
          <w:iCs/>
          <w:lang w:eastAsia="en-CA"/>
        </w:rPr>
        <w:t>29</w:t>
      </w:r>
      <w:r w:rsidRPr="008402A5">
        <w:rPr>
          <w:rFonts w:eastAsia="Times New Roman" w:cstheme="minorHAnsi"/>
          <w:i/>
          <w:iCs/>
          <w:lang w:eastAsia="en-CA"/>
        </w:rPr>
        <w:t> </w:t>
      </w:r>
      <w:r w:rsidRPr="008402A5">
        <w:rPr>
          <w:rFonts w:eastAsia="Times New Roman" w:cstheme="minorHAnsi"/>
          <w:b/>
          <w:bCs/>
          <w:i/>
          <w:iCs/>
          <w:lang w:eastAsia="en-CA"/>
        </w:rPr>
        <w:t>(1)</w:t>
      </w:r>
      <w:r w:rsidRPr="008402A5">
        <w:rPr>
          <w:rFonts w:eastAsia="Times New Roman" w:cstheme="minorHAnsi"/>
          <w:i/>
          <w:iCs/>
          <w:lang w:eastAsia="en-CA"/>
        </w:rPr>
        <w:t xml:space="preserve"> Subject to this section, </w:t>
      </w:r>
      <w:r w:rsidRPr="0087219F">
        <w:rPr>
          <w:rFonts w:eastAsia="Times New Roman" w:cstheme="minorHAnsi"/>
          <w:b/>
          <w:bCs/>
          <w:i/>
          <w:iCs/>
          <w:lang w:eastAsia="en-CA"/>
        </w:rPr>
        <w:t>a copy of any entry in any book or record kept in any financial institution</w:t>
      </w:r>
      <w:r w:rsidRPr="008402A5">
        <w:rPr>
          <w:rFonts w:eastAsia="Times New Roman" w:cstheme="minorHAnsi"/>
          <w:i/>
          <w:iCs/>
          <w:lang w:eastAsia="en-CA"/>
        </w:rPr>
        <w:t xml:space="preserve"> </w:t>
      </w:r>
      <w:r w:rsidRPr="0087219F">
        <w:rPr>
          <w:rFonts w:eastAsia="Times New Roman" w:cstheme="minorHAnsi"/>
          <w:b/>
          <w:bCs/>
          <w:i/>
          <w:iCs/>
          <w:lang w:eastAsia="en-CA"/>
        </w:rPr>
        <w:t>shall in all legal proceedings be admitted in evidence as proof</w:t>
      </w:r>
      <w:r w:rsidRPr="008402A5">
        <w:rPr>
          <w:rFonts w:eastAsia="Times New Roman" w:cstheme="minorHAnsi"/>
          <w:i/>
          <w:iCs/>
          <w:lang w:eastAsia="en-CA"/>
        </w:rPr>
        <w:t>, in the absence of evidence to the contrary, of the entry and of the matters, transactions and accounts therein recorded.</w:t>
      </w:r>
    </w:p>
    <w:p w14:paraId="4A396845" w14:textId="77777777" w:rsidR="00090C66" w:rsidRDefault="00090C66" w:rsidP="00090C66">
      <w:pPr>
        <w:tabs>
          <w:tab w:val="left" w:pos="1020"/>
        </w:tabs>
        <w:spacing w:line="276" w:lineRule="auto"/>
        <w:ind w:left="720"/>
        <w:rPr>
          <w:rFonts w:eastAsia="Times New Roman" w:cstheme="minorHAnsi"/>
          <w:i/>
          <w:iCs/>
          <w:lang w:eastAsia="en-CA"/>
        </w:rPr>
      </w:pPr>
      <w:r w:rsidRPr="0087219F">
        <w:rPr>
          <w:rFonts w:eastAsia="Times New Roman" w:cstheme="minorHAnsi"/>
          <w:b/>
          <w:bCs/>
          <w:i/>
          <w:iCs/>
          <w:lang w:eastAsia="en-CA"/>
        </w:rPr>
        <w:t>(2)</w:t>
      </w:r>
      <w:r w:rsidRPr="0087219F">
        <w:rPr>
          <w:rFonts w:eastAsia="Times New Roman" w:cstheme="minorHAnsi"/>
          <w:i/>
          <w:iCs/>
          <w:lang w:eastAsia="en-CA"/>
        </w:rPr>
        <w:t xml:space="preserve"> A copy of an entry in the book or record described in subsection (1) shall not be admitted in evidence under this section </w:t>
      </w:r>
      <w:r w:rsidRPr="0087219F">
        <w:rPr>
          <w:rFonts w:eastAsia="Times New Roman" w:cstheme="minorHAnsi"/>
          <w:b/>
          <w:bCs/>
          <w:i/>
          <w:iCs/>
          <w:lang w:eastAsia="en-CA"/>
        </w:rPr>
        <w:t>unless it is first proved that the book or record</w:t>
      </w:r>
      <w:r w:rsidRPr="0087219F">
        <w:rPr>
          <w:rFonts w:eastAsia="Times New Roman" w:cstheme="minorHAnsi"/>
          <w:b/>
          <w:bCs/>
          <w:lang w:eastAsia="en-CA"/>
        </w:rPr>
        <w:t> </w:t>
      </w:r>
      <w:r w:rsidRPr="0087219F">
        <w:rPr>
          <w:rFonts w:eastAsia="Times New Roman" w:cstheme="minorHAnsi"/>
          <w:b/>
          <w:bCs/>
          <w:i/>
          <w:iCs/>
          <w:lang w:eastAsia="en-CA"/>
        </w:rPr>
        <w:t>was, at the time of the making of the entry, one of the ordinary books or records of the financial institution</w:t>
      </w:r>
      <w:r w:rsidRPr="008402A5">
        <w:rPr>
          <w:rFonts w:eastAsia="Times New Roman" w:cstheme="minorHAnsi"/>
          <w:i/>
          <w:iCs/>
          <w:lang w:eastAsia="en-CA"/>
        </w:rPr>
        <w:t>, that the entry was made in the usual and ordinary course of business, that the book or record is in the custody or control of the financial institution and that the copy is a true copy of it</w:t>
      </w:r>
      <w:r>
        <w:rPr>
          <w:rFonts w:eastAsia="Times New Roman" w:cstheme="minorHAnsi"/>
          <w:lang w:eastAsia="en-CA"/>
        </w:rPr>
        <w:t xml:space="preserve">” </w:t>
      </w:r>
      <w:r w:rsidRPr="008402A5">
        <w:rPr>
          <w:rFonts w:eastAsia="Times New Roman" w:cstheme="minorHAnsi"/>
          <w:i/>
          <w:iCs/>
          <w:lang w:eastAsia="en-CA"/>
        </w:rPr>
        <w:t>(section 29(2))</w:t>
      </w:r>
    </w:p>
    <w:p w14:paraId="10A004EA" w14:textId="43775AB6" w:rsidR="000C036B" w:rsidRDefault="000C036B" w:rsidP="00090C66">
      <w:pPr>
        <w:tabs>
          <w:tab w:val="left" w:pos="1020"/>
        </w:tabs>
        <w:spacing w:line="276" w:lineRule="auto"/>
        <w:rPr>
          <w:rFonts w:eastAsia="Times New Roman" w:cstheme="minorHAnsi"/>
          <w:lang w:eastAsia="en-CA"/>
        </w:rPr>
      </w:pPr>
      <w:r>
        <w:rPr>
          <w:rFonts w:eastAsia="Times New Roman" w:cstheme="minorHAnsi"/>
          <w:lang w:eastAsia="en-CA"/>
        </w:rPr>
        <w:lastRenderedPageBreak/>
        <w:t xml:space="preserve">Documents can have an official character, such as government letters and forms (for example, Canada Revenue Agency documents advising of an amount owing, or Motor Vehicle Branch documents such as a notice of driving prohibition). </w:t>
      </w:r>
    </w:p>
    <w:p w14:paraId="3FC6D79B" w14:textId="77777777" w:rsidR="000C036B" w:rsidRDefault="000C036B" w:rsidP="00090C66">
      <w:pPr>
        <w:tabs>
          <w:tab w:val="left" w:pos="1020"/>
        </w:tabs>
        <w:spacing w:line="276" w:lineRule="auto"/>
        <w:rPr>
          <w:rFonts w:eastAsia="Times New Roman" w:cstheme="minorHAnsi"/>
          <w:lang w:eastAsia="en-CA"/>
        </w:rPr>
      </w:pPr>
    </w:p>
    <w:p w14:paraId="1761F383" w14:textId="65E93C9A" w:rsidR="00090C66" w:rsidRDefault="00090C66" w:rsidP="00090C66">
      <w:pPr>
        <w:tabs>
          <w:tab w:val="left" w:pos="1020"/>
        </w:tabs>
        <w:spacing w:line="276" w:lineRule="auto"/>
        <w:rPr>
          <w:rFonts w:eastAsia="Times New Roman" w:cstheme="minorHAnsi"/>
          <w:i/>
          <w:iCs/>
          <w:lang w:eastAsia="en-CA"/>
        </w:rPr>
      </w:pPr>
      <w:r>
        <w:rPr>
          <w:rFonts w:eastAsia="Times New Roman" w:cstheme="minorHAnsi"/>
          <w:lang w:eastAsia="en-CA"/>
        </w:rPr>
        <w:t xml:space="preserve">Documents are sometimes </w:t>
      </w:r>
      <w:r w:rsidRPr="004863FB">
        <w:rPr>
          <w:rFonts w:eastAsia="Times New Roman" w:cstheme="minorHAnsi"/>
          <w:b/>
          <w:bCs/>
          <w:i/>
          <w:iCs/>
          <w:lang w:eastAsia="en-CA"/>
        </w:rPr>
        <w:t>business</w:t>
      </w:r>
      <w:r>
        <w:rPr>
          <w:rFonts w:eastAsia="Times New Roman" w:cstheme="minorHAnsi"/>
          <w:lang w:eastAsia="en-CA"/>
        </w:rPr>
        <w:t xml:space="preserve"> documents that may reflect agreements or actions on the part of the business, or acknowledgements of debt or duty. Such records fall under section 30 of the </w:t>
      </w:r>
      <w:r w:rsidRPr="007744F5">
        <w:rPr>
          <w:rFonts w:eastAsia="Times New Roman" w:cstheme="minorHAnsi"/>
          <w:i/>
          <w:iCs/>
          <w:lang w:eastAsia="en-CA"/>
        </w:rPr>
        <w:t xml:space="preserve">Canada Evidence Act. </w:t>
      </w:r>
    </w:p>
    <w:p w14:paraId="23C7B744" w14:textId="77777777" w:rsidR="00090C66" w:rsidRDefault="00090C66" w:rsidP="00090C66">
      <w:pPr>
        <w:tabs>
          <w:tab w:val="left" w:pos="1020"/>
        </w:tabs>
        <w:spacing w:line="276" w:lineRule="auto"/>
        <w:ind w:left="720"/>
        <w:rPr>
          <w:rFonts w:eastAsia="Times New Roman" w:cstheme="minorHAnsi"/>
          <w:i/>
          <w:iCs/>
          <w:lang w:eastAsia="en-CA"/>
        </w:rPr>
      </w:pPr>
      <w:r w:rsidRPr="0087219F">
        <w:rPr>
          <w:rFonts w:eastAsia="Times New Roman" w:cstheme="minorHAnsi"/>
          <w:b/>
          <w:bCs/>
          <w:i/>
          <w:iCs/>
          <w:lang w:eastAsia="en-CA"/>
        </w:rPr>
        <w:t>30</w:t>
      </w:r>
      <w:r w:rsidRPr="0087219F">
        <w:rPr>
          <w:rFonts w:eastAsia="Times New Roman" w:cstheme="minorHAnsi"/>
          <w:i/>
          <w:iCs/>
          <w:lang w:eastAsia="en-CA"/>
        </w:rPr>
        <w:t> </w:t>
      </w:r>
      <w:r w:rsidRPr="0087219F">
        <w:rPr>
          <w:rFonts w:eastAsia="Times New Roman" w:cstheme="minorHAnsi"/>
          <w:b/>
          <w:bCs/>
          <w:i/>
          <w:iCs/>
          <w:lang w:eastAsia="en-CA"/>
        </w:rPr>
        <w:t>(1)</w:t>
      </w:r>
      <w:r w:rsidRPr="0087219F">
        <w:rPr>
          <w:rFonts w:eastAsia="Times New Roman" w:cstheme="minorHAnsi"/>
          <w:i/>
          <w:iCs/>
          <w:lang w:eastAsia="en-CA"/>
        </w:rPr>
        <w:t xml:space="preserve"> Where oral evidence in respect of a matter would be admissible in a legal proceeding, </w:t>
      </w:r>
      <w:r w:rsidRPr="0087219F">
        <w:rPr>
          <w:rFonts w:eastAsia="Times New Roman" w:cstheme="minorHAnsi"/>
          <w:b/>
          <w:bCs/>
          <w:i/>
          <w:iCs/>
          <w:lang w:eastAsia="en-CA"/>
        </w:rPr>
        <w:t>a record made in the usual and ordinary course of business that contains information in respect of that matter is admissible in evidence</w:t>
      </w:r>
      <w:r w:rsidRPr="0087219F">
        <w:rPr>
          <w:rFonts w:eastAsia="Times New Roman" w:cstheme="minorHAnsi"/>
          <w:i/>
          <w:iCs/>
          <w:lang w:eastAsia="en-CA"/>
        </w:rPr>
        <w:t xml:space="preserve"> under this section in the legal proceeding on production of the record.</w:t>
      </w:r>
    </w:p>
    <w:p w14:paraId="3FCE7AE7" w14:textId="77777777" w:rsidR="00090C66" w:rsidRDefault="00090C66" w:rsidP="00090C66">
      <w:pPr>
        <w:tabs>
          <w:tab w:val="left" w:pos="1020"/>
        </w:tabs>
        <w:spacing w:line="276" w:lineRule="auto"/>
        <w:ind w:left="720"/>
        <w:rPr>
          <w:rFonts w:eastAsia="Times New Roman" w:cstheme="minorHAnsi"/>
          <w:i/>
          <w:iCs/>
          <w:lang w:eastAsia="en-CA"/>
        </w:rPr>
      </w:pPr>
      <w:r w:rsidRPr="0087219F">
        <w:rPr>
          <w:rFonts w:eastAsia="Times New Roman" w:cstheme="minorHAnsi"/>
          <w:b/>
          <w:bCs/>
          <w:i/>
          <w:iCs/>
          <w:lang w:eastAsia="en-CA"/>
        </w:rPr>
        <w:t>(2)</w:t>
      </w:r>
      <w:r w:rsidRPr="0087219F">
        <w:rPr>
          <w:rFonts w:eastAsia="Times New Roman" w:cstheme="minorHAnsi"/>
          <w:i/>
          <w:iCs/>
          <w:lang w:eastAsia="en-CA"/>
        </w:rPr>
        <w:t> Where a record made in the usual and ordinary course of business does not contain information in respect of a matter the occurrence or existence of which might reasonably be expected to be recorded in that record, the court may on production of the record admit the record for the purpose of establishing that fact and may draw the inference that the matter did not occur or exist</w:t>
      </w:r>
      <w:r>
        <w:rPr>
          <w:rFonts w:eastAsia="Times New Roman" w:cstheme="minorHAnsi"/>
          <w:i/>
          <w:iCs/>
          <w:lang w:eastAsia="en-CA"/>
        </w:rPr>
        <w:t>.</w:t>
      </w:r>
    </w:p>
    <w:p w14:paraId="6F4DC988" w14:textId="77777777" w:rsidR="00090C66" w:rsidRDefault="00090C66" w:rsidP="00090C66">
      <w:pPr>
        <w:tabs>
          <w:tab w:val="left" w:pos="1020"/>
        </w:tabs>
        <w:spacing w:line="276" w:lineRule="auto"/>
        <w:rPr>
          <w:rFonts w:eastAsia="Times New Roman" w:cstheme="minorHAnsi"/>
          <w:lang w:eastAsia="en-CA"/>
        </w:rPr>
      </w:pPr>
      <w:r>
        <w:rPr>
          <w:rFonts w:eastAsia="Times New Roman" w:cstheme="minorHAnsi"/>
          <w:lang w:eastAsia="en-CA"/>
        </w:rPr>
        <w:t>The rationale for permitting these records to go in as evidence without the persons who created them or did whatever it is that is recorded is the same concept as other principled exceptions to the hearsay rule; entering the document is necessary because the person(s) who authored it or did the things set out in it cannot be identified or have no memory of the events (imagine someone entering data about electronic banking transactions…) and because the actions of the person(s) is important to the business’ or institutions’ function. As well, failing to keep an accurate record may result in the employer dismissing (firing) the employee or some other negative consequence.</w:t>
      </w:r>
    </w:p>
    <w:p w14:paraId="1639498A" w14:textId="77777777" w:rsidR="00090C66" w:rsidRPr="00CA1F5E" w:rsidRDefault="00090C66" w:rsidP="00090C66">
      <w:pPr>
        <w:tabs>
          <w:tab w:val="left" w:pos="1020"/>
        </w:tabs>
        <w:spacing w:after="0" w:line="276" w:lineRule="auto"/>
        <w:rPr>
          <w:rFonts w:eastAsia="Times New Roman" w:cstheme="minorHAnsi"/>
          <w:lang w:eastAsia="en-CA"/>
        </w:rPr>
      </w:pPr>
      <w:r>
        <w:rPr>
          <w:rFonts w:eastAsia="Times New Roman" w:cstheme="minorHAnsi"/>
          <w:lang w:eastAsia="en-CA"/>
        </w:rPr>
        <w:t xml:space="preserve">There is an evidentiary concept in the context of documents and other records called the </w:t>
      </w:r>
      <w:r w:rsidRPr="00F21210">
        <w:rPr>
          <w:rFonts w:eastAsia="Times New Roman" w:cstheme="minorHAnsi"/>
          <w:b/>
          <w:bCs/>
          <w:i/>
          <w:iCs/>
          <w:lang w:eastAsia="en-CA"/>
        </w:rPr>
        <w:t>best evidence rule</w:t>
      </w:r>
      <w:r>
        <w:rPr>
          <w:rFonts w:eastAsia="Times New Roman" w:cstheme="minorHAnsi"/>
          <w:b/>
          <w:bCs/>
          <w:i/>
          <w:iCs/>
          <w:lang w:eastAsia="en-CA"/>
        </w:rPr>
        <w:t xml:space="preserve"> </w:t>
      </w:r>
      <w:r>
        <w:rPr>
          <w:rFonts w:eastAsia="Times New Roman" w:cstheme="minorHAnsi"/>
          <w:lang w:eastAsia="en-CA"/>
        </w:rPr>
        <w:t xml:space="preserve">which can be reduced to the idea that the original document should be produced to tender as evidence wherever possible, and if not possible because lost or destroyed or inaccessible, then the best copy or facsimile of that record should be produced. The party tendering the document has the onus of showing why the original cannot be produced. </w:t>
      </w:r>
    </w:p>
    <w:p w14:paraId="25596B03" w14:textId="78644DE9" w:rsidR="00090C66" w:rsidRDefault="00090C66"/>
    <w:p w14:paraId="3B0DD6E3" w14:textId="55AB958C" w:rsidR="008E2FC6" w:rsidRDefault="00BD50A2">
      <w:r>
        <w:rPr>
          <w:b/>
          <w:bCs/>
          <w:u w:val="single"/>
        </w:rPr>
        <w:t xml:space="preserve">Judicial Documents – </w:t>
      </w:r>
      <w:r>
        <w:t xml:space="preserve">courts may take notice of their own </w:t>
      </w:r>
      <w:proofErr w:type="gramStart"/>
      <w:r>
        <w:t>documents</w:t>
      </w:r>
      <w:proofErr w:type="gramEnd"/>
    </w:p>
    <w:p w14:paraId="3294F600" w14:textId="6CECD47E" w:rsidR="00BD50A2" w:rsidRDefault="00BD50A2"/>
    <w:p w14:paraId="377069F0" w14:textId="1B8313DD" w:rsidR="00F55A51" w:rsidRPr="00E557C9" w:rsidRDefault="00F55A51" w:rsidP="00F55A51">
      <w:pPr>
        <w:rPr>
          <w:b/>
          <w:bCs/>
          <w:u w:val="single"/>
        </w:rPr>
      </w:pPr>
      <w:r w:rsidRPr="00E557C9">
        <w:rPr>
          <w:b/>
          <w:bCs/>
          <w:u w:val="single"/>
        </w:rPr>
        <w:t xml:space="preserve">Certificate of Analyst </w:t>
      </w:r>
      <w:r>
        <w:rPr>
          <w:b/>
          <w:bCs/>
          <w:u w:val="single"/>
        </w:rPr>
        <w:t xml:space="preserve">– Controlled Drugs and Substances Act s.51 &amp; 52 </w:t>
      </w:r>
    </w:p>
    <w:p w14:paraId="54A0C9F4" w14:textId="77777777" w:rsidR="00F55A51" w:rsidRDefault="00F55A51"/>
    <w:p w14:paraId="0ED544FC" w14:textId="77777777" w:rsidR="00BD50A2" w:rsidRDefault="00BD50A2"/>
    <w:p w14:paraId="21B5CAD7" w14:textId="77777777" w:rsidR="007466CE" w:rsidRDefault="007466CE" w:rsidP="007466CE">
      <w:pPr>
        <w:rPr>
          <w:b/>
          <w:bCs/>
          <w:u w:val="single"/>
        </w:rPr>
      </w:pPr>
      <w:r>
        <w:rPr>
          <w:b/>
          <w:bCs/>
          <w:u w:val="single"/>
        </w:rPr>
        <w:t xml:space="preserve">Accused criminal </w:t>
      </w:r>
      <w:proofErr w:type="gramStart"/>
      <w:r>
        <w:rPr>
          <w:b/>
          <w:bCs/>
          <w:u w:val="single"/>
        </w:rPr>
        <w:t>record</w:t>
      </w:r>
      <w:proofErr w:type="gramEnd"/>
      <w:r>
        <w:rPr>
          <w:b/>
          <w:bCs/>
          <w:u w:val="single"/>
        </w:rPr>
        <w:t xml:space="preserve"> </w:t>
      </w:r>
    </w:p>
    <w:p w14:paraId="563369E7" w14:textId="77777777" w:rsidR="007466CE" w:rsidRDefault="007466CE" w:rsidP="007466CE">
      <w:r w:rsidRPr="00621E60">
        <w:lastRenderedPageBreak/>
        <w:t>R. v. Corbett, 1988 CanLII 80 (SCC)</w:t>
      </w:r>
    </w:p>
    <w:p w14:paraId="38DEB76E" w14:textId="0D72ADEB" w:rsidR="008E2FC6" w:rsidRDefault="008E2FC6"/>
    <w:p w14:paraId="0386D289" w14:textId="14326309" w:rsidR="007466CE" w:rsidRDefault="007466CE">
      <w:pPr>
        <w:rPr>
          <w:b/>
          <w:bCs/>
          <w:u w:val="single"/>
        </w:rPr>
      </w:pPr>
      <w:r>
        <w:t xml:space="preserve">Corbett applications to exclude criminal convictions from Crown’s cross-examination </w:t>
      </w:r>
      <w:r w:rsidRPr="00A27FF0">
        <w:rPr>
          <w:b/>
          <w:bCs/>
          <w:u w:val="single"/>
        </w:rPr>
        <w:t xml:space="preserve">when the accused </w:t>
      </w:r>
      <w:proofErr w:type="gramStart"/>
      <w:r w:rsidRPr="00A27FF0">
        <w:rPr>
          <w:b/>
          <w:bCs/>
          <w:u w:val="single"/>
        </w:rPr>
        <w:t>testifies</w:t>
      </w:r>
      <w:proofErr w:type="gramEnd"/>
      <w:r w:rsidRPr="00A27FF0">
        <w:rPr>
          <w:b/>
          <w:bCs/>
          <w:u w:val="single"/>
        </w:rPr>
        <w:t xml:space="preserve"> </w:t>
      </w:r>
    </w:p>
    <w:p w14:paraId="2CBCA3D2" w14:textId="3F49557F" w:rsidR="002C1E24" w:rsidRPr="002C1E24" w:rsidRDefault="002C1E24" w:rsidP="002C1E24">
      <w:pPr>
        <w:spacing w:before="100" w:beforeAutospacing="1" w:after="100" w:afterAutospacing="1" w:line="240" w:lineRule="auto"/>
        <w:jc w:val="both"/>
        <w:rPr>
          <w:rFonts w:ascii="Times New Roman" w:eastAsia="Times New Roman" w:hAnsi="Times New Roman" w:cs="Times New Roman"/>
          <w:sz w:val="24"/>
          <w:szCs w:val="24"/>
          <w:lang w:eastAsia="en-CA"/>
        </w:rPr>
      </w:pPr>
      <w:r w:rsidRPr="002C1E24">
        <w:rPr>
          <w:rFonts w:ascii="Times New Roman" w:eastAsia="Times New Roman" w:hAnsi="Times New Roman" w:cs="Times New Roman"/>
          <w:spacing w:val="-3"/>
          <w:sz w:val="24"/>
          <w:szCs w:val="24"/>
          <w:lang w:eastAsia="en-CA"/>
        </w:rPr>
        <w:t xml:space="preserve">In January 1983, the accused was charged with first degree murder in respect of the death of one of his associates in the drug trade. At trial, credibility was a crucial issue. The accused denied any involvement in the killing and attacked the credibility of the Crown's witnesses who identified him as the killer. He elected to </w:t>
      </w:r>
      <w:proofErr w:type="gramStart"/>
      <w:r w:rsidRPr="002C1E24">
        <w:rPr>
          <w:rFonts w:ascii="Times New Roman" w:eastAsia="Times New Roman" w:hAnsi="Times New Roman" w:cs="Times New Roman"/>
          <w:spacing w:val="-3"/>
          <w:sz w:val="24"/>
          <w:szCs w:val="24"/>
          <w:lang w:eastAsia="en-CA"/>
        </w:rPr>
        <w:t>testify</w:t>
      </w:r>
      <w:proofErr w:type="gramEnd"/>
      <w:r w:rsidRPr="002C1E24">
        <w:rPr>
          <w:rFonts w:ascii="Times New Roman" w:eastAsia="Times New Roman" w:hAnsi="Times New Roman" w:cs="Times New Roman"/>
          <w:spacing w:val="-3"/>
          <w:sz w:val="24"/>
          <w:szCs w:val="24"/>
          <w:lang w:eastAsia="en-CA"/>
        </w:rPr>
        <w:t xml:space="preserve"> and his counsel sought to prevent the Crown from cross</w:t>
      </w:r>
      <w:r w:rsidRPr="002C1E24">
        <w:rPr>
          <w:rFonts w:ascii="Times New Roman" w:eastAsia="Times New Roman" w:hAnsi="Times New Roman" w:cs="Times New Roman"/>
          <w:spacing w:val="-3"/>
          <w:sz w:val="24"/>
          <w:szCs w:val="24"/>
          <w:lang w:eastAsia="en-CA"/>
        </w:rPr>
        <w:noBreakHyphen/>
        <w:t xml:space="preserve">examining the accused on his previous record under s. 12(1) of the </w:t>
      </w:r>
      <w:r w:rsidRPr="002C1E24">
        <w:rPr>
          <w:rFonts w:ascii="Times New Roman" w:eastAsia="Times New Roman" w:hAnsi="Times New Roman" w:cs="Times New Roman"/>
          <w:i/>
          <w:iCs/>
          <w:spacing w:val="-3"/>
          <w:sz w:val="24"/>
          <w:szCs w:val="24"/>
          <w:lang w:eastAsia="en-CA"/>
        </w:rPr>
        <w:t>Canada Evidence Act</w:t>
      </w:r>
      <w:r w:rsidRPr="002C1E24">
        <w:rPr>
          <w:rFonts w:ascii="Times New Roman" w:eastAsia="Times New Roman" w:hAnsi="Times New Roman" w:cs="Times New Roman"/>
          <w:spacing w:val="-3"/>
          <w:sz w:val="24"/>
          <w:szCs w:val="24"/>
          <w:lang w:eastAsia="en-CA"/>
        </w:rPr>
        <w:t>. This section provides that a witness, which includes an accused where he chooses to testify, may be questioned as to whether he has been convicted of any offence. Counsel contended that to permit cross</w:t>
      </w:r>
      <w:r w:rsidRPr="002C1E24">
        <w:rPr>
          <w:rFonts w:ascii="Times New Roman" w:eastAsia="Times New Roman" w:hAnsi="Times New Roman" w:cs="Times New Roman"/>
          <w:spacing w:val="-3"/>
          <w:sz w:val="24"/>
          <w:szCs w:val="24"/>
          <w:lang w:eastAsia="en-CA"/>
        </w:rPr>
        <w:noBreakHyphen/>
        <w:t>examination and proof of the accused's previous convictions, in particular a previous conviction of non</w:t>
      </w:r>
      <w:r w:rsidRPr="002C1E24">
        <w:rPr>
          <w:rFonts w:ascii="Times New Roman" w:eastAsia="Times New Roman" w:hAnsi="Times New Roman" w:cs="Times New Roman"/>
          <w:spacing w:val="-3"/>
          <w:sz w:val="24"/>
          <w:szCs w:val="24"/>
          <w:lang w:eastAsia="en-CA"/>
        </w:rPr>
        <w:noBreakHyphen/>
        <w:t xml:space="preserve">capital murder, was so highly prejudicial that it would infringe on his </w:t>
      </w:r>
      <w:hyperlink r:id="rId5" w:history="1">
        <w:r w:rsidRPr="002C1E24">
          <w:rPr>
            <w:rFonts w:ascii="Times New Roman" w:eastAsia="Times New Roman" w:hAnsi="Times New Roman" w:cs="Times New Roman"/>
            <w:i/>
            <w:iCs/>
            <w:color w:val="0000FF"/>
            <w:spacing w:val="-3"/>
            <w:sz w:val="24"/>
            <w:szCs w:val="24"/>
            <w:u w:val="single"/>
            <w:lang w:eastAsia="en-CA"/>
          </w:rPr>
          <w:t>Charter</w:t>
        </w:r>
      </w:hyperlink>
      <w:r w:rsidRPr="002C1E24">
        <w:rPr>
          <w:rFonts w:ascii="Times New Roman" w:eastAsia="Times New Roman" w:hAnsi="Times New Roman" w:cs="Times New Roman"/>
          <w:spacing w:val="-3"/>
          <w:sz w:val="24"/>
          <w:szCs w:val="24"/>
          <w:lang w:eastAsia="en-CA"/>
        </w:rPr>
        <w:t xml:space="preserve"> right to a fair trial. The trial judge rejected the argument. To minimize the adverse effect of a cross</w:t>
      </w:r>
      <w:r w:rsidRPr="002C1E24">
        <w:rPr>
          <w:rFonts w:ascii="Times New Roman" w:eastAsia="Times New Roman" w:hAnsi="Times New Roman" w:cs="Times New Roman"/>
          <w:spacing w:val="-3"/>
          <w:sz w:val="24"/>
          <w:szCs w:val="24"/>
          <w:lang w:eastAsia="en-CA"/>
        </w:rPr>
        <w:noBreakHyphen/>
        <w:t>examination as to his criminal record, the accused admitted in his examination</w:t>
      </w:r>
      <w:r w:rsidRPr="002C1E24">
        <w:rPr>
          <w:rFonts w:ascii="Times New Roman" w:eastAsia="Times New Roman" w:hAnsi="Times New Roman" w:cs="Times New Roman"/>
          <w:spacing w:val="-3"/>
          <w:sz w:val="24"/>
          <w:szCs w:val="24"/>
          <w:lang w:eastAsia="en-CA"/>
        </w:rPr>
        <w:noBreakHyphen/>
        <w:t>in</w:t>
      </w:r>
      <w:r w:rsidRPr="002C1E24">
        <w:rPr>
          <w:rFonts w:ascii="Times New Roman" w:eastAsia="Times New Roman" w:hAnsi="Times New Roman" w:cs="Times New Roman"/>
          <w:spacing w:val="-3"/>
          <w:sz w:val="24"/>
          <w:szCs w:val="24"/>
          <w:lang w:eastAsia="en-CA"/>
        </w:rPr>
        <w:noBreakHyphen/>
        <w:t>chief that he had been convicted in 1954 of armed robbery, escaping custody, theft and breaking and entering, and in 1971 of non</w:t>
      </w:r>
      <w:r w:rsidRPr="002C1E24">
        <w:rPr>
          <w:rFonts w:ascii="Times New Roman" w:eastAsia="Times New Roman" w:hAnsi="Times New Roman" w:cs="Times New Roman"/>
          <w:spacing w:val="-3"/>
          <w:sz w:val="24"/>
          <w:szCs w:val="24"/>
          <w:lang w:eastAsia="en-CA"/>
        </w:rPr>
        <w:noBreakHyphen/>
        <w:t xml:space="preserve">capital murder. In his charge, the trial judge warned the jury not to use the criminal record of the accused for any purpose other than credibility. The accused was found guilty of </w:t>
      </w:r>
      <w:proofErr w:type="gramStart"/>
      <w:r w:rsidRPr="002C1E24">
        <w:rPr>
          <w:rFonts w:ascii="Times New Roman" w:eastAsia="Times New Roman" w:hAnsi="Times New Roman" w:cs="Times New Roman"/>
          <w:spacing w:val="-3"/>
          <w:sz w:val="24"/>
          <w:szCs w:val="24"/>
          <w:lang w:eastAsia="en-CA"/>
        </w:rPr>
        <w:t>second degree</w:t>
      </w:r>
      <w:proofErr w:type="gramEnd"/>
      <w:r w:rsidRPr="002C1E24">
        <w:rPr>
          <w:rFonts w:ascii="Times New Roman" w:eastAsia="Times New Roman" w:hAnsi="Times New Roman" w:cs="Times New Roman"/>
          <w:spacing w:val="-3"/>
          <w:sz w:val="24"/>
          <w:szCs w:val="24"/>
          <w:lang w:eastAsia="en-CA"/>
        </w:rPr>
        <w:t xml:space="preserve"> murder and the Court of Appeal dismissed his appeal from conviction. This appeal is to determine whether the accused was deprived of his right to a fair hearing guaranteed by </w:t>
      </w:r>
      <w:hyperlink r:id="rId6" w:anchor="sec11parad_smooth" w:history="1">
        <w:r w:rsidRPr="002C1E24">
          <w:rPr>
            <w:rFonts w:ascii="Times New Roman" w:eastAsia="Times New Roman" w:hAnsi="Times New Roman" w:cs="Times New Roman"/>
            <w:color w:val="0000FF"/>
            <w:spacing w:val="-3"/>
            <w:sz w:val="24"/>
            <w:szCs w:val="24"/>
            <w:u w:val="single"/>
            <w:lang w:eastAsia="en-CA"/>
          </w:rPr>
          <w:t>s. 11(</w:t>
        </w:r>
      </w:hyperlink>
      <w:hyperlink r:id="rId7" w:anchor="sec11parad_smooth" w:history="1">
        <w:r w:rsidRPr="002C1E24">
          <w:rPr>
            <w:rFonts w:ascii="Times New Roman" w:eastAsia="Times New Roman" w:hAnsi="Times New Roman" w:cs="Times New Roman"/>
            <w:i/>
            <w:iCs/>
            <w:color w:val="0000FF"/>
            <w:spacing w:val="-3"/>
            <w:sz w:val="24"/>
            <w:szCs w:val="24"/>
            <w:u w:val="single"/>
            <w:lang w:eastAsia="en-CA"/>
          </w:rPr>
          <w:t>d</w:t>
        </w:r>
      </w:hyperlink>
      <w:hyperlink r:id="rId8" w:anchor="sec11parad_smooth" w:history="1">
        <w:r w:rsidRPr="002C1E24">
          <w:rPr>
            <w:rFonts w:ascii="Times New Roman" w:eastAsia="Times New Roman" w:hAnsi="Times New Roman" w:cs="Times New Roman"/>
            <w:color w:val="0000FF"/>
            <w:spacing w:val="-3"/>
            <w:sz w:val="24"/>
            <w:szCs w:val="24"/>
            <w:u w:val="single"/>
            <w:lang w:eastAsia="en-CA"/>
          </w:rPr>
          <w:t>)</w:t>
        </w:r>
      </w:hyperlink>
      <w:r w:rsidRPr="002C1E24">
        <w:rPr>
          <w:rFonts w:ascii="Times New Roman" w:eastAsia="Times New Roman" w:hAnsi="Times New Roman" w:cs="Times New Roman"/>
          <w:spacing w:val="-3"/>
          <w:sz w:val="24"/>
          <w:szCs w:val="24"/>
          <w:lang w:eastAsia="en-CA"/>
        </w:rPr>
        <w:t xml:space="preserve"> of the </w:t>
      </w:r>
      <w:hyperlink r:id="rId9" w:history="1">
        <w:r w:rsidRPr="002C1E24">
          <w:rPr>
            <w:rFonts w:ascii="Times New Roman" w:eastAsia="Times New Roman" w:hAnsi="Times New Roman" w:cs="Times New Roman"/>
            <w:i/>
            <w:iCs/>
            <w:color w:val="0000FF"/>
            <w:spacing w:val="-3"/>
            <w:sz w:val="24"/>
            <w:szCs w:val="24"/>
            <w:u w:val="single"/>
            <w:lang w:eastAsia="en-CA"/>
          </w:rPr>
          <w:t>Canadian Charter of Rights and Freedoms</w:t>
        </w:r>
      </w:hyperlink>
      <w:r w:rsidRPr="002C1E24">
        <w:rPr>
          <w:rFonts w:ascii="Times New Roman" w:eastAsia="Times New Roman" w:hAnsi="Times New Roman" w:cs="Times New Roman"/>
          <w:spacing w:val="-3"/>
          <w:sz w:val="24"/>
          <w:szCs w:val="24"/>
          <w:lang w:eastAsia="en-CA"/>
        </w:rPr>
        <w:t xml:space="preserve"> by reason of the introduction of evidence of his earlier conviction for non</w:t>
      </w:r>
      <w:r w:rsidRPr="002C1E24">
        <w:rPr>
          <w:rFonts w:ascii="Times New Roman" w:eastAsia="Times New Roman" w:hAnsi="Times New Roman" w:cs="Times New Roman"/>
          <w:spacing w:val="-3"/>
          <w:sz w:val="24"/>
          <w:szCs w:val="24"/>
          <w:lang w:eastAsia="en-CA"/>
        </w:rPr>
        <w:noBreakHyphen/>
        <w:t>capital murder.</w:t>
      </w:r>
    </w:p>
    <w:p w14:paraId="0C974D85" w14:textId="5B9D8E9F" w:rsidR="002C1E24" w:rsidRPr="002C1E24" w:rsidRDefault="002C1E24" w:rsidP="002C1E24">
      <w:pPr>
        <w:spacing w:before="100" w:beforeAutospacing="1" w:after="100" w:afterAutospacing="1" w:line="240" w:lineRule="auto"/>
        <w:jc w:val="both"/>
        <w:rPr>
          <w:rFonts w:ascii="Times New Roman" w:eastAsia="Times New Roman" w:hAnsi="Times New Roman" w:cs="Times New Roman"/>
          <w:sz w:val="24"/>
          <w:szCs w:val="24"/>
          <w:lang w:eastAsia="en-CA"/>
        </w:rPr>
      </w:pPr>
      <w:r w:rsidRPr="002C1E24">
        <w:rPr>
          <w:rFonts w:ascii="Times New Roman" w:eastAsia="Times New Roman" w:hAnsi="Times New Roman" w:cs="Times New Roman"/>
          <w:i/>
          <w:iCs/>
          <w:spacing w:val="-3"/>
          <w:sz w:val="24"/>
          <w:szCs w:val="24"/>
          <w:lang w:eastAsia="en-CA"/>
        </w:rPr>
        <w:t>                  Held</w:t>
      </w:r>
      <w:r w:rsidRPr="002C1E24">
        <w:rPr>
          <w:rFonts w:ascii="Times New Roman" w:eastAsia="Times New Roman" w:hAnsi="Times New Roman" w:cs="Times New Roman"/>
          <w:spacing w:val="-3"/>
          <w:sz w:val="24"/>
          <w:szCs w:val="24"/>
          <w:lang w:eastAsia="en-CA"/>
        </w:rPr>
        <w:t xml:space="preserve"> (La Forest J. dissenting): The appeal should be dismissed.</w:t>
      </w:r>
    </w:p>
    <w:p w14:paraId="5B086774" w14:textId="26CC58AB" w:rsidR="002C1E24" w:rsidRPr="002C1E24" w:rsidRDefault="002C1E24" w:rsidP="002C1E24">
      <w:pPr>
        <w:spacing w:before="100" w:beforeAutospacing="1" w:after="100" w:afterAutospacing="1" w:line="240" w:lineRule="auto"/>
        <w:jc w:val="both"/>
        <w:rPr>
          <w:rFonts w:ascii="Times New Roman" w:eastAsia="Times New Roman" w:hAnsi="Times New Roman" w:cs="Times New Roman"/>
          <w:sz w:val="24"/>
          <w:szCs w:val="24"/>
          <w:lang w:eastAsia="en-CA"/>
        </w:rPr>
      </w:pPr>
      <w:r w:rsidRPr="002C1E24">
        <w:rPr>
          <w:rFonts w:ascii="Times New Roman" w:eastAsia="Times New Roman" w:hAnsi="Times New Roman" w:cs="Times New Roman"/>
          <w:i/>
          <w:iCs/>
          <w:spacing w:val="-3"/>
          <w:sz w:val="24"/>
          <w:szCs w:val="24"/>
          <w:lang w:eastAsia="en-CA"/>
        </w:rPr>
        <w:t>                  Per</w:t>
      </w:r>
      <w:r w:rsidRPr="002C1E24">
        <w:rPr>
          <w:rFonts w:ascii="Times New Roman" w:eastAsia="Times New Roman" w:hAnsi="Times New Roman" w:cs="Times New Roman"/>
          <w:spacing w:val="-3"/>
          <w:sz w:val="24"/>
          <w:szCs w:val="24"/>
          <w:lang w:eastAsia="en-CA"/>
        </w:rPr>
        <w:t xml:space="preserve"> Dickson C.J. and Beetz and Lamer JJ.: Section 12 of the </w:t>
      </w:r>
      <w:r w:rsidRPr="002C1E24">
        <w:rPr>
          <w:rFonts w:ascii="Times New Roman" w:eastAsia="Times New Roman" w:hAnsi="Times New Roman" w:cs="Times New Roman"/>
          <w:i/>
          <w:iCs/>
          <w:spacing w:val="-3"/>
          <w:sz w:val="24"/>
          <w:szCs w:val="24"/>
          <w:lang w:eastAsia="en-CA"/>
        </w:rPr>
        <w:t>Canada Evidence Act</w:t>
      </w:r>
      <w:r w:rsidRPr="002C1E24">
        <w:rPr>
          <w:rFonts w:ascii="Times New Roman" w:eastAsia="Times New Roman" w:hAnsi="Times New Roman" w:cs="Times New Roman"/>
          <w:spacing w:val="-3"/>
          <w:sz w:val="24"/>
          <w:szCs w:val="24"/>
          <w:lang w:eastAsia="en-CA"/>
        </w:rPr>
        <w:t xml:space="preserve"> does not violate the guarantee contained in </w:t>
      </w:r>
      <w:hyperlink r:id="rId10" w:anchor="sec11parad_smooth" w:history="1">
        <w:r w:rsidRPr="002C1E24">
          <w:rPr>
            <w:rFonts w:ascii="Times New Roman" w:eastAsia="Times New Roman" w:hAnsi="Times New Roman" w:cs="Times New Roman"/>
            <w:color w:val="0000FF"/>
            <w:spacing w:val="-3"/>
            <w:sz w:val="24"/>
            <w:szCs w:val="24"/>
            <w:u w:val="single"/>
            <w:lang w:eastAsia="en-CA"/>
          </w:rPr>
          <w:t>s. 11(</w:t>
        </w:r>
      </w:hyperlink>
      <w:hyperlink r:id="rId11" w:anchor="sec11parad_smooth" w:history="1">
        <w:r w:rsidRPr="002C1E24">
          <w:rPr>
            <w:rFonts w:ascii="Times New Roman" w:eastAsia="Times New Roman" w:hAnsi="Times New Roman" w:cs="Times New Roman"/>
            <w:i/>
            <w:iCs/>
            <w:color w:val="0000FF"/>
            <w:spacing w:val="-3"/>
            <w:sz w:val="24"/>
            <w:szCs w:val="24"/>
            <w:u w:val="single"/>
            <w:lang w:eastAsia="en-CA"/>
          </w:rPr>
          <w:t>d</w:t>
        </w:r>
      </w:hyperlink>
      <w:hyperlink r:id="rId12" w:anchor="sec11parad_smooth" w:history="1">
        <w:r w:rsidRPr="002C1E24">
          <w:rPr>
            <w:rFonts w:ascii="Times New Roman" w:eastAsia="Times New Roman" w:hAnsi="Times New Roman" w:cs="Times New Roman"/>
            <w:color w:val="0000FF"/>
            <w:spacing w:val="-3"/>
            <w:sz w:val="24"/>
            <w:szCs w:val="24"/>
            <w:u w:val="single"/>
            <w:lang w:eastAsia="en-CA"/>
          </w:rPr>
          <w:t>)</w:t>
        </w:r>
      </w:hyperlink>
      <w:r w:rsidRPr="002C1E24">
        <w:rPr>
          <w:rFonts w:ascii="Times New Roman" w:eastAsia="Times New Roman" w:hAnsi="Times New Roman" w:cs="Times New Roman"/>
          <w:spacing w:val="-3"/>
          <w:sz w:val="24"/>
          <w:szCs w:val="24"/>
          <w:lang w:eastAsia="en-CA"/>
        </w:rPr>
        <w:t xml:space="preserve"> of the </w:t>
      </w:r>
      <w:hyperlink r:id="rId13" w:history="1">
        <w:r w:rsidRPr="002C1E24">
          <w:rPr>
            <w:rFonts w:ascii="Times New Roman" w:eastAsia="Times New Roman" w:hAnsi="Times New Roman" w:cs="Times New Roman"/>
            <w:i/>
            <w:iCs/>
            <w:color w:val="0000FF"/>
            <w:spacing w:val="-3"/>
            <w:sz w:val="24"/>
            <w:szCs w:val="24"/>
            <w:u w:val="single"/>
            <w:lang w:eastAsia="en-CA"/>
          </w:rPr>
          <w:t>Charter</w:t>
        </w:r>
      </w:hyperlink>
      <w:r w:rsidRPr="002C1E24">
        <w:rPr>
          <w:rFonts w:ascii="Times New Roman" w:eastAsia="Times New Roman" w:hAnsi="Times New Roman" w:cs="Times New Roman"/>
          <w:spacing w:val="-3"/>
          <w:sz w:val="24"/>
          <w:szCs w:val="24"/>
          <w:lang w:eastAsia="en-CA"/>
        </w:rPr>
        <w:t>. The effect of s. 12 is merely to permit the Crown to adduce evidence of prior convictions as they relate to credibility. The burden of proof remains upon the Crown and the introduction of prior convictions creates no presumption of guilt nor does it create a presumption that the accused should not be believed. The prior convictions are simply evidence for the jury to consider, along with everything else, in assessing the credibility of the accused.</w:t>
      </w:r>
    </w:p>
    <w:p w14:paraId="7D25A837" w14:textId="500E4D6F" w:rsidR="002C1E24" w:rsidRPr="002C1E24" w:rsidRDefault="002C1E24" w:rsidP="002C1E24">
      <w:pPr>
        <w:spacing w:before="100" w:beforeAutospacing="1" w:after="100" w:afterAutospacing="1" w:line="240" w:lineRule="auto"/>
        <w:jc w:val="both"/>
        <w:rPr>
          <w:rFonts w:ascii="Times New Roman" w:eastAsia="Times New Roman" w:hAnsi="Times New Roman" w:cs="Times New Roman"/>
          <w:sz w:val="24"/>
          <w:szCs w:val="24"/>
          <w:lang w:eastAsia="en-CA"/>
        </w:rPr>
      </w:pPr>
      <w:r w:rsidRPr="002C1E24">
        <w:rPr>
          <w:rFonts w:ascii="Times New Roman" w:eastAsia="Times New Roman" w:hAnsi="Times New Roman" w:cs="Times New Roman"/>
          <w:spacing w:val="-3"/>
          <w:sz w:val="24"/>
          <w:szCs w:val="24"/>
          <w:lang w:eastAsia="en-CA"/>
        </w:rPr>
        <w:t xml:space="preserve">                  Section 12 also does not deprive the accused of a "fair" trial in the sense that the introduction of such evidence would divert the jury from the task of deciding the case </w:t>
      </w:r>
      <w:proofErr w:type="gramStart"/>
      <w:r w:rsidRPr="002C1E24">
        <w:rPr>
          <w:rFonts w:ascii="Times New Roman" w:eastAsia="Times New Roman" w:hAnsi="Times New Roman" w:cs="Times New Roman"/>
          <w:spacing w:val="-3"/>
          <w:sz w:val="24"/>
          <w:szCs w:val="24"/>
          <w:lang w:eastAsia="en-CA"/>
        </w:rPr>
        <w:t>on the basis of</w:t>
      </w:r>
      <w:proofErr w:type="gramEnd"/>
      <w:r w:rsidRPr="002C1E24">
        <w:rPr>
          <w:rFonts w:ascii="Times New Roman" w:eastAsia="Times New Roman" w:hAnsi="Times New Roman" w:cs="Times New Roman"/>
          <w:spacing w:val="-3"/>
          <w:sz w:val="24"/>
          <w:szCs w:val="24"/>
          <w:lang w:eastAsia="en-CA"/>
        </w:rPr>
        <w:t xml:space="preserve"> admissible evidence legally relevant to the proof of the charge faced by the accused. There is perhaps a risk that the jury may use the evidence of prior convictions for an improper purpose, but to conceal the prior criminal record of an accused who testifies would deprive the jury of information relevant to </w:t>
      </w:r>
      <w:proofErr w:type="gramStart"/>
      <w:r w:rsidRPr="002C1E24">
        <w:rPr>
          <w:rFonts w:ascii="Times New Roman" w:eastAsia="Times New Roman" w:hAnsi="Times New Roman" w:cs="Times New Roman"/>
          <w:spacing w:val="-3"/>
          <w:sz w:val="24"/>
          <w:szCs w:val="24"/>
          <w:lang w:eastAsia="en-CA"/>
        </w:rPr>
        <w:t>credibility, and</w:t>
      </w:r>
      <w:proofErr w:type="gramEnd"/>
      <w:r w:rsidRPr="002C1E24">
        <w:rPr>
          <w:rFonts w:ascii="Times New Roman" w:eastAsia="Times New Roman" w:hAnsi="Times New Roman" w:cs="Times New Roman"/>
          <w:spacing w:val="-3"/>
          <w:sz w:val="24"/>
          <w:szCs w:val="24"/>
          <w:lang w:eastAsia="en-CA"/>
        </w:rPr>
        <w:t xml:space="preserve"> create a much more serious risk that the jury will be presented with a misleading picture. The best way to balance and alleviate these risks is, as in this case, to give the jury all the information, but at the same time give a clear direction as to the limited use they are to make of such information. To protect the accused, the trial judge may also exercise his discretion to exclude evidence of prior convictions in those unusual cases where a mechanical application of s. 12 would undermine the right to a fair trial. Further, the limitations on the use of prior convictions demonstrate a marked solicitude for the right of the accused to a fair trial and indicate that the law relating to the </w:t>
      </w:r>
      <w:r w:rsidRPr="002C1E24">
        <w:rPr>
          <w:rFonts w:ascii="Times New Roman" w:eastAsia="Times New Roman" w:hAnsi="Times New Roman" w:cs="Times New Roman"/>
          <w:spacing w:val="-3"/>
          <w:sz w:val="24"/>
          <w:szCs w:val="24"/>
          <w:lang w:eastAsia="en-CA"/>
        </w:rPr>
        <w:lastRenderedPageBreak/>
        <w:t>use of prior convictions strives to avoid the risk of prejudicing an accused's trial by introduction of evidence of prior misdeeds. Taken as a whole, this body of law is entirely protective of the right of the accused not to be convicted except on evidence directly relevant to the charge in question.</w:t>
      </w:r>
    </w:p>
    <w:p w14:paraId="28B35086" w14:textId="77777777" w:rsidR="002C1E24" w:rsidRPr="002C1E24" w:rsidRDefault="002C1E24" w:rsidP="002C1E24">
      <w:pPr>
        <w:spacing w:before="100" w:beforeAutospacing="1" w:after="100" w:afterAutospacing="1" w:line="240" w:lineRule="auto"/>
        <w:jc w:val="both"/>
        <w:rPr>
          <w:rFonts w:ascii="Times New Roman" w:eastAsia="Times New Roman" w:hAnsi="Times New Roman" w:cs="Times New Roman"/>
          <w:sz w:val="24"/>
          <w:szCs w:val="24"/>
          <w:lang w:eastAsia="en-CA"/>
        </w:rPr>
      </w:pPr>
      <w:r w:rsidRPr="002C1E24">
        <w:rPr>
          <w:rFonts w:ascii="Times New Roman" w:eastAsia="Times New Roman" w:hAnsi="Times New Roman" w:cs="Times New Roman"/>
          <w:spacing w:val="-3"/>
          <w:sz w:val="24"/>
          <w:szCs w:val="24"/>
          <w:lang w:eastAsia="en-CA"/>
        </w:rPr>
        <w:t>                  Although the trial judge has a discretion to exclude evidence of prior convictions in an appropriate case, such discretion should not be exercised in favour of the accused in the present circumstances. The accused made a deliberate attack on the credibility of the Crown witnesses, largely based upon their prior record. The issue for the jury was solely that of credibility. Had the accused's criminal record not been revealed, the jury would have been left with the quite incorrect impression that while all the Crown witnesses were hardened criminals, the accused had an unblemished past. Admitting the accused's convictions except that for non</w:t>
      </w:r>
      <w:r w:rsidRPr="002C1E24">
        <w:rPr>
          <w:rFonts w:ascii="Times New Roman" w:eastAsia="Times New Roman" w:hAnsi="Times New Roman" w:cs="Times New Roman"/>
          <w:spacing w:val="-3"/>
          <w:sz w:val="24"/>
          <w:szCs w:val="24"/>
          <w:lang w:eastAsia="en-CA"/>
        </w:rPr>
        <w:noBreakHyphen/>
        <w:t>capital murder would not have avoided the imbalance between the Crown and the accused. The jury would have been misled rather than aided by the exclusion of that evidence, and in these circumstances, it cannot be said that such admission was unfairly prejudicial.</w:t>
      </w:r>
    </w:p>
    <w:p w14:paraId="58D3812E" w14:textId="77777777" w:rsidR="002C1E24" w:rsidRPr="00A27FF0" w:rsidRDefault="002C1E24">
      <w:pPr>
        <w:rPr>
          <w:b/>
          <w:bCs/>
          <w:u w:val="single"/>
        </w:rPr>
      </w:pPr>
    </w:p>
    <w:p w14:paraId="6C0E03E5" w14:textId="70B847CC" w:rsidR="004B2F71" w:rsidRDefault="004B2F71"/>
    <w:p w14:paraId="7E7A0D02" w14:textId="77777777" w:rsidR="00FA3BF2" w:rsidRDefault="00FA3BF2">
      <w:pPr>
        <w:rPr>
          <w:b/>
          <w:bCs/>
          <w:u w:val="single"/>
        </w:rPr>
      </w:pPr>
    </w:p>
    <w:p w14:paraId="68A7549E" w14:textId="21F2E64E" w:rsidR="004B2F71" w:rsidRDefault="00FA3BF2">
      <w:pPr>
        <w:rPr>
          <w:b/>
          <w:bCs/>
          <w:u w:val="single"/>
        </w:rPr>
      </w:pPr>
      <w:r w:rsidRPr="00FA3BF2">
        <w:rPr>
          <w:b/>
          <w:bCs/>
          <w:u w:val="single"/>
        </w:rPr>
        <w:t xml:space="preserve">Alibi Evidence </w:t>
      </w:r>
    </w:p>
    <w:p w14:paraId="3DF6038C" w14:textId="684DC2BA" w:rsidR="00FA3BF2" w:rsidRDefault="00FA3BF2">
      <w:r w:rsidRPr="00FA3BF2">
        <w:t>R. v. Cleghorn, 1995 CanLII 63 (SCC)</w:t>
      </w:r>
    </w:p>
    <w:p w14:paraId="55FFCB77" w14:textId="47560432" w:rsidR="0069752A" w:rsidRPr="0069752A" w:rsidRDefault="0069752A" w:rsidP="0069752A">
      <w:pPr>
        <w:spacing w:before="100" w:beforeAutospacing="1" w:after="100" w:afterAutospacing="1" w:line="240" w:lineRule="auto"/>
        <w:jc w:val="both"/>
        <w:rPr>
          <w:rFonts w:ascii="Times New Roman" w:eastAsia="Times New Roman" w:hAnsi="Times New Roman" w:cs="Times New Roman"/>
          <w:sz w:val="24"/>
          <w:szCs w:val="24"/>
          <w:lang w:eastAsia="en-CA"/>
        </w:rPr>
      </w:pPr>
      <w:r w:rsidRPr="0069752A">
        <w:rPr>
          <w:rFonts w:ascii="Times New Roman" w:eastAsia="Times New Roman" w:hAnsi="Times New Roman" w:cs="Times New Roman"/>
          <w:spacing w:val="-3"/>
          <w:sz w:val="24"/>
          <w:szCs w:val="24"/>
          <w:lang w:eastAsia="en-CA"/>
        </w:rPr>
        <w:t>The appellant was convicted of trafficking in cocaine.  An undercover officer arrived at the scene of the transaction at 2:18 p.m.  The half-minute transaction took place sometime thereafter and was completed not later than 2:25 p.m.  The undercover officer identified the individual involved as the appellant, who was then arrested, at about 3:40 p.m.  The appellant presented alibi evidence at trial that he was at home with his mother at the time of the alleged transaction.  The trial judge considered this evidence to be significantly weakened because of want of formal disclosure of the alibi and noted that this finding may have had a significant effect on the outcome of the trial.  A conversation which took place between the accused's mother and the police when she was arranging bail was considered to be inadequate disclosure of the alibi.  The mother claimed during this conversation, which focused on determining the time of the arrest, that the accused was with her at 2:30, 3:00 and 3:15 p.m.  An appeal to the Court of Appeal was dismissed.  The issues here were whether or not the disclosure of the alibi evidence was properly characterized as untimely or insufficient, and if so, whether or not the conviction could nevertheless be upheld pursuant to the provisions of s. 686(1)(</w:t>
      </w:r>
      <w:r w:rsidRPr="0069752A">
        <w:rPr>
          <w:rFonts w:ascii="Times New Roman" w:eastAsia="Times New Roman" w:hAnsi="Times New Roman" w:cs="Times New Roman"/>
          <w:i/>
          <w:iCs/>
          <w:spacing w:val="-3"/>
          <w:sz w:val="24"/>
          <w:szCs w:val="24"/>
          <w:lang w:eastAsia="en-CA"/>
        </w:rPr>
        <w:t>b</w:t>
      </w:r>
      <w:r w:rsidRPr="0069752A">
        <w:rPr>
          <w:rFonts w:ascii="Times New Roman" w:eastAsia="Times New Roman" w:hAnsi="Times New Roman" w:cs="Times New Roman"/>
          <w:spacing w:val="-3"/>
          <w:sz w:val="24"/>
          <w:szCs w:val="24"/>
          <w:lang w:eastAsia="en-CA"/>
        </w:rPr>
        <w:t xml:space="preserve">)(iii) of the </w:t>
      </w:r>
      <w:hyperlink r:id="rId14" w:history="1">
        <w:r w:rsidRPr="0069752A">
          <w:rPr>
            <w:rFonts w:ascii="Times New Roman" w:eastAsia="Times New Roman" w:hAnsi="Times New Roman" w:cs="Times New Roman"/>
            <w:i/>
            <w:iCs/>
            <w:color w:val="0000FF"/>
            <w:spacing w:val="-3"/>
            <w:sz w:val="24"/>
            <w:szCs w:val="24"/>
            <w:u w:val="single"/>
            <w:lang w:eastAsia="en-CA"/>
          </w:rPr>
          <w:t>Criminal Code</w:t>
        </w:r>
      </w:hyperlink>
      <w:r w:rsidRPr="0069752A">
        <w:rPr>
          <w:rFonts w:ascii="Times New Roman" w:eastAsia="Times New Roman" w:hAnsi="Times New Roman" w:cs="Times New Roman"/>
          <w:spacing w:val="-3"/>
          <w:sz w:val="24"/>
          <w:szCs w:val="24"/>
          <w:lang w:eastAsia="en-CA"/>
        </w:rPr>
        <w:t>.</w:t>
      </w:r>
    </w:p>
    <w:p w14:paraId="56186364" w14:textId="10C6AC20" w:rsidR="0069752A" w:rsidRPr="0069752A" w:rsidRDefault="0069752A" w:rsidP="0069752A">
      <w:pPr>
        <w:keepNext/>
        <w:spacing w:before="100" w:beforeAutospacing="1" w:after="100" w:afterAutospacing="1" w:line="240" w:lineRule="auto"/>
        <w:jc w:val="both"/>
        <w:rPr>
          <w:rFonts w:ascii="Times New Roman" w:eastAsia="Times New Roman" w:hAnsi="Times New Roman" w:cs="Times New Roman"/>
          <w:sz w:val="24"/>
          <w:szCs w:val="24"/>
          <w:lang w:eastAsia="en-CA"/>
        </w:rPr>
      </w:pPr>
      <w:r w:rsidRPr="0069752A">
        <w:rPr>
          <w:rFonts w:ascii="Times New Roman" w:eastAsia="Times New Roman" w:hAnsi="Times New Roman" w:cs="Times New Roman"/>
          <w:i/>
          <w:iCs/>
          <w:spacing w:val="-3"/>
          <w:sz w:val="24"/>
          <w:szCs w:val="24"/>
          <w:lang w:eastAsia="en-CA"/>
        </w:rPr>
        <w:t>                  Held</w:t>
      </w:r>
      <w:r w:rsidRPr="0069752A">
        <w:rPr>
          <w:rFonts w:ascii="Times New Roman" w:eastAsia="Times New Roman" w:hAnsi="Times New Roman" w:cs="Times New Roman"/>
          <w:spacing w:val="-3"/>
          <w:sz w:val="24"/>
          <w:szCs w:val="24"/>
          <w:lang w:eastAsia="en-CA"/>
        </w:rPr>
        <w:t xml:space="preserve"> (Sopinka and Major JJ. dissenting):  The appeal should be dismissed.</w:t>
      </w:r>
    </w:p>
    <w:p w14:paraId="10BA338F" w14:textId="31C93407" w:rsidR="0069752A" w:rsidRPr="0069752A" w:rsidRDefault="0069752A" w:rsidP="0069752A">
      <w:pPr>
        <w:spacing w:before="100" w:beforeAutospacing="1" w:after="100" w:afterAutospacing="1" w:line="240" w:lineRule="auto"/>
        <w:jc w:val="both"/>
        <w:rPr>
          <w:rFonts w:ascii="Times New Roman" w:eastAsia="Times New Roman" w:hAnsi="Times New Roman" w:cs="Times New Roman"/>
          <w:sz w:val="24"/>
          <w:szCs w:val="24"/>
          <w:lang w:eastAsia="en-CA"/>
        </w:rPr>
      </w:pPr>
      <w:r w:rsidRPr="0069752A">
        <w:rPr>
          <w:rFonts w:ascii="Times New Roman" w:eastAsia="Times New Roman" w:hAnsi="Times New Roman" w:cs="Times New Roman"/>
          <w:i/>
          <w:iCs/>
          <w:spacing w:val="-3"/>
          <w:sz w:val="24"/>
          <w:szCs w:val="24"/>
          <w:lang w:eastAsia="en-CA"/>
        </w:rPr>
        <w:t>                  Per</w:t>
      </w:r>
      <w:r w:rsidRPr="0069752A">
        <w:rPr>
          <w:rFonts w:ascii="Times New Roman" w:eastAsia="Times New Roman" w:hAnsi="Times New Roman" w:cs="Times New Roman"/>
          <w:spacing w:val="-3"/>
          <w:sz w:val="24"/>
          <w:szCs w:val="24"/>
          <w:lang w:eastAsia="en-CA"/>
        </w:rPr>
        <w:t xml:space="preserve"> Lamer C.J. and Gonthier and Iacobucci JJ.:  Proper disclosure of an alibi has two components:  adequacy and timeliness.  The consequence of a failure to disclose an alibi properly is that the trier of fact may draw an adverse inference when weighing the alibi evidence heard at trial.  Improper disclosure can only weaken alibi evidence; it cannot exclude it.  The rule, which is one of expediency, is intended to guard against surprise alibis fabricated during testimony at trial.  It has been adapted to conform to the </w:t>
      </w:r>
      <w:hyperlink r:id="rId15" w:history="1">
        <w:r w:rsidRPr="0069752A">
          <w:rPr>
            <w:rFonts w:ascii="Times New Roman" w:eastAsia="Times New Roman" w:hAnsi="Times New Roman" w:cs="Times New Roman"/>
            <w:i/>
            <w:iCs/>
            <w:color w:val="0000FF"/>
            <w:spacing w:val="-3"/>
            <w:sz w:val="24"/>
            <w:szCs w:val="24"/>
            <w:u w:val="single"/>
            <w:lang w:eastAsia="en-CA"/>
          </w:rPr>
          <w:t>Canadian Charter of Rights and Freedoms</w:t>
        </w:r>
      </w:hyperlink>
      <w:r w:rsidRPr="0069752A">
        <w:rPr>
          <w:rFonts w:ascii="Times New Roman" w:eastAsia="Times New Roman" w:hAnsi="Times New Roman" w:cs="Times New Roman"/>
          <w:spacing w:val="-3"/>
          <w:sz w:val="24"/>
          <w:szCs w:val="24"/>
          <w:lang w:eastAsia="en-CA"/>
        </w:rPr>
        <w:t xml:space="preserve"> norms in that </w:t>
      </w:r>
      <w:r w:rsidRPr="0069752A">
        <w:rPr>
          <w:rFonts w:ascii="Times New Roman" w:eastAsia="Times New Roman" w:hAnsi="Times New Roman" w:cs="Times New Roman"/>
          <w:spacing w:val="-3"/>
          <w:sz w:val="24"/>
          <w:szCs w:val="24"/>
          <w:lang w:eastAsia="en-CA"/>
        </w:rPr>
        <w:lastRenderedPageBreak/>
        <w:t xml:space="preserve">disclosure is proper when it allows the prosecution and police to investigate the alibi evidence before trial.  The criteria of timeliness and adequacy are thus evaluated </w:t>
      </w:r>
      <w:proofErr w:type="gramStart"/>
      <w:r w:rsidRPr="0069752A">
        <w:rPr>
          <w:rFonts w:ascii="Times New Roman" w:eastAsia="Times New Roman" w:hAnsi="Times New Roman" w:cs="Times New Roman"/>
          <w:spacing w:val="-3"/>
          <w:sz w:val="24"/>
          <w:szCs w:val="24"/>
          <w:lang w:eastAsia="en-CA"/>
        </w:rPr>
        <w:t>on the basis of</w:t>
      </w:r>
      <w:proofErr w:type="gramEnd"/>
      <w:r w:rsidRPr="0069752A">
        <w:rPr>
          <w:rFonts w:ascii="Times New Roman" w:eastAsia="Times New Roman" w:hAnsi="Times New Roman" w:cs="Times New Roman"/>
          <w:spacing w:val="-3"/>
          <w:sz w:val="24"/>
          <w:szCs w:val="24"/>
          <w:lang w:eastAsia="en-CA"/>
        </w:rPr>
        <w:t xml:space="preserve"> whether a meaningful investigation could have been undertaken as a result of disclosure.  Neither disclosure at the earliest possible moment, nor disclosure by the accused is necessary.  Third party disclosure is sufficient.</w:t>
      </w:r>
    </w:p>
    <w:p w14:paraId="5258AE32" w14:textId="77777777" w:rsidR="0069752A" w:rsidRPr="0069752A" w:rsidRDefault="0069752A" w:rsidP="0069752A">
      <w:pPr>
        <w:spacing w:before="100" w:beforeAutospacing="1" w:after="100" w:afterAutospacing="1" w:line="240" w:lineRule="auto"/>
        <w:jc w:val="both"/>
        <w:rPr>
          <w:rFonts w:ascii="Times New Roman" w:eastAsia="Times New Roman" w:hAnsi="Times New Roman" w:cs="Times New Roman"/>
          <w:sz w:val="24"/>
          <w:szCs w:val="24"/>
          <w:lang w:eastAsia="en-CA"/>
        </w:rPr>
      </w:pPr>
      <w:r w:rsidRPr="0069752A">
        <w:rPr>
          <w:rFonts w:ascii="Times New Roman" w:eastAsia="Times New Roman" w:hAnsi="Times New Roman" w:cs="Times New Roman"/>
          <w:spacing w:val="-3"/>
          <w:sz w:val="24"/>
          <w:szCs w:val="24"/>
          <w:lang w:eastAsia="en-CA"/>
        </w:rPr>
        <w:t>                  The timeliness of the disclosure was not at issue.  The statement to the police by the accused's mother was unclear and confused and did not disclose sufficient detail and coherence to enable the police to undertake a meaningful investigation of the evidence supporting the alibi.  The key factor to be considered was the time of the commission of the offence in question.  The mother's statements to the police focused on the accused's whereabouts at the time of his arrest.  The claim that he was with her at 2:30, at 3:00 and at 3:15 (the times the officer recited to her), did not strictly relate to the time of the commission of the offence, which was between 2:18 and 2:24.  This fact undermined further the suggestion that this conversation was sufficient to put the police on notice as to the alibi.  The assertion that the accused was not present at the location of the crime, when it was committed, is missing from the alibi.  The trial judge was entitled to draw a negative inference based on the evidence before him.</w:t>
      </w:r>
    </w:p>
    <w:p w14:paraId="0AAE3ECF" w14:textId="77777777" w:rsidR="0069752A" w:rsidRPr="00FA3BF2" w:rsidRDefault="0069752A">
      <w:pPr>
        <w:rPr>
          <w:b/>
          <w:bCs/>
          <w:u w:val="single"/>
        </w:rPr>
      </w:pPr>
    </w:p>
    <w:sectPr w:rsidR="0069752A" w:rsidRPr="00FA3B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21D0C"/>
    <w:multiLevelType w:val="hybridMultilevel"/>
    <w:tmpl w:val="D67862C2"/>
    <w:lvl w:ilvl="0" w:tplc="9384BA7C">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89991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560"/>
    <w:rsid w:val="00090C66"/>
    <w:rsid w:val="000A7CDC"/>
    <w:rsid w:val="000C036B"/>
    <w:rsid w:val="000D5560"/>
    <w:rsid w:val="002C1E24"/>
    <w:rsid w:val="00476CE6"/>
    <w:rsid w:val="004B2F71"/>
    <w:rsid w:val="0069752A"/>
    <w:rsid w:val="00725743"/>
    <w:rsid w:val="007466CE"/>
    <w:rsid w:val="007D6F5F"/>
    <w:rsid w:val="00840593"/>
    <w:rsid w:val="008E2FC6"/>
    <w:rsid w:val="00A27FF0"/>
    <w:rsid w:val="00AB4DAC"/>
    <w:rsid w:val="00BD50A2"/>
    <w:rsid w:val="00F55A51"/>
    <w:rsid w:val="00FA3B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C25FA"/>
  <w15:chartTrackingRefBased/>
  <w15:docId w15:val="{D0D9BDC7-2310-4674-B76C-C9CFB9E96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0C66"/>
    <w:pPr>
      <w:ind w:left="720"/>
      <w:contextualSpacing/>
    </w:pPr>
  </w:style>
  <w:style w:type="character" w:styleId="Hyperlink">
    <w:name w:val="Hyperlink"/>
    <w:basedOn w:val="DefaultParagraphFont"/>
    <w:uiPriority w:val="99"/>
    <w:semiHidden/>
    <w:unhideWhenUsed/>
    <w:rsid w:val="002C1E2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997989">
      <w:bodyDiv w:val="1"/>
      <w:marLeft w:val="0"/>
      <w:marRight w:val="0"/>
      <w:marTop w:val="0"/>
      <w:marBottom w:val="0"/>
      <w:divBdr>
        <w:top w:val="none" w:sz="0" w:space="0" w:color="auto"/>
        <w:left w:val="none" w:sz="0" w:space="0" w:color="auto"/>
        <w:bottom w:val="none" w:sz="0" w:space="0" w:color="auto"/>
        <w:right w:val="none" w:sz="0" w:space="0" w:color="auto"/>
      </w:divBdr>
    </w:div>
    <w:div w:id="1248615864">
      <w:bodyDiv w:val="1"/>
      <w:marLeft w:val="0"/>
      <w:marRight w:val="0"/>
      <w:marTop w:val="0"/>
      <w:marBottom w:val="0"/>
      <w:divBdr>
        <w:top w:val="none" w:sz="0" w:space="0" w:color="auto"/>
        <w:left w:val="none" w:sz="0" w:space="0" w:color="auto"/>
        <w:bottom w:val="none" w:sz="0" w:space="0" w:color="auto"/>
        <w:right w:val="none" w:sz="0" w:space="0" w:color="auto"/>
      </w:divBdr>
    </w:div>
    <w:div w:id="132758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lii.org/en/ca/laws/stat/schedule-b-to-the-canada-act-1982-uk-1982-c-11/latest/schedule-b-to-the-canada-act-1982-uk-1982-c-11.html" TargetMode="External"/><Relationship Id="rId13" Type="http://schemas.openxmlformats.org/officeDocument/2006/relationships/hyperlink" Target="https://www.canlii.org/en/ca/laws/stat/schedule-b-to-the-canada-act-1982-uk-1982-c-11/latest/schedule-b-to-the-canada-act-1982-uk-1982-c-11.html" TargetMode="External"/><Relationship Id="rId3" Type="http://schemas.openxmlformats.org/officeDocument/2006/relationships/settings" Target="settings.xml"/><Relationship Id="rId7" Type="http://schemas.openxmlformats.org/officeDocument/2006/relationships/hyperlink" Target="https://www.canlii.org/en/ca/laws/stat/schedule-b-to-the-canada-act-1982-uk-1982-c-11/latest/schedule-b-to-the-canada-act-1982-uk-1982-c-11.html" TargetMode="External"/><Relationship Id="rId12" Type="http://schemas.openxmlformats.org/officeDocument/2006/relationships/hyperlink" Target="https://www.canlii.org/en/ca/laws/stat/schedule-b-to-the-canada-act-1982-uk-1982-c-11/latest/schedule-b-to-the-canada-act-1982-uk-1982-c-11.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anlii.org/en/ca/laws/stat/schedule-b-to-the-canada-act-1982-uk-1982-c-11/latest/schedule-b-to-the-canada-act-1982-uk-1982-c-11.html" TargetMode="External"/><Relationship Id="rId11" Type="http://schemas.openxmlformats.org/officeDocument/2006/relationships/hyperlink" Target="https://www.canlii.org/en/ca/laws/stat/schedule-b-to-the-canada-act-1982-uk-1982-c-11/latest/schedule-b-to-the-canada-act-1982-uk-1982-c-11.html" TargetMode="External"/><Relationship Id="rId5" Type="http://schemas.openxmlformats.org/officeDocument/2006/relationships/hyperlink" Target="https://www.canlii.org/en/ca/laws/stat/schedule-b-to-the-canada-act-1982-uk-1982-c-11/latest/schedule-b-to-the-canada-act-1982-uk-1982-c-11.html" TargetMode="External"/><Relationship Id="rId15" Type="http://schemas.openxmlformats.org/officeDocument/2006/relationships/hyperlink" Target="https://www.canlii.org/en/ca/laws/stat/schedule-b-to-the-canada-act-1982-uk-1982-c-11/latest/schedule-b-to-the-canada-act-1982-uk-1982-c-11.html" TargetMode="External"/><Relationship Id="rId10" Type="http://schemas.openxmlformats.org/officeDocument/2006/relationships/hyperlink" Target="https://www.canlii.org/en/ca/laws/stat/schedule-b-to-the-canada-act-1982-uk-1982-c-11/latest/schedule-b-to-the-canada-act-1982-uk-1982-c-11.html" TargetMode="External"/><Relationship Id="rId4" Type="http://schemas.openxmlformats.org/officeDocument/2006/relationships/webSettings" Target="webSettings.xml"/><Relationship Id="rId9" Type="http://schemas.openxmlformats.org/officeDocument/2006/relationships/hyperlink" Target="https://www.canlii.org/en/ca/laws/stat/schedule-b-to-the-canada-act-1982-uk-1982-c-11/latest/schedule-b-to-the-canada-act-1982-uk-1982-c-11.html" TargetMode="External"/><Relationship Id="rId14" Type="http://schemas.openxmlformats.org/officeDocument/2006/relationships/hyperlink" Target="https://www.canlii.org/en/ca/laws/stat/rsc-1985-c-c-46/latest/rsc-1985-c-c-4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2348</Words>
  <Characters>13387</Characters>
  <Application>Microsoft Office Word</Application>
  <DocSecurity>0</DocSecurity>
  <Lines>111</Lines>
  <Paragraphs>31</Paragraphs>
  <ScaleCrop>false</ScaleCrop>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Johnson</dc:creator>
  <cp:keywords/>
  <dc:description/>
  <cp:lastModifiedBy>Ryan Johnson</cp:lastModifiedBy>
  <cp:revision>17</cp:revision>
  <dcterms:created xsi:type="dcterms:W3CDTF">2023-01-31T20:25:00Z</dcterms:created>
  <dcterms:modified xsi:type="dcterms:W3CDTF">2023-03-22T22:56:00Z</dcterms:modified>
</cp:coreProperties>
</file>