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0D885" w14:textId="27C939CD" w:rsidR="007578B7" w:rsidRDefault="00B71C1E">
      <w:r>
        <w:t xml:space="preserve">7002 Readings list </w:t>
      </w:r>
    </w:p>
    <w:p w14:paraId="6DBB357A" w14:textId="7C240CC1" w:rsidR="00B71C1E" w:rsidRPr="00980EAE" w:rsidRDefault="00686E0A">
      <w:pPr>
        <w:rPr>
          <w:b/>
          <w:bCs/>
          <w:u w:val="single"/>
        </w:rPr>
      </w:pPr>
      <w:r w:rsidRPr="00980EAE">
        <w:rPr>
          <w:b/>
          <w:bCs/>
          <w:u w:val="single"/>
        </w:rPr>
        <w:t xml:space="preserve">Unit 1 </w:t>
      </w:r>
    </w:p>
    <w:p w14:paraId="7F00DB0B" w14:textId="41E2976E" w:rsidR="00686E0A" w:rsidRDefault="00686E0A" w:rsidP="00686E0A">
      <w:pPr>
        <w:spacing w:after="0" w:line="240" w:lineRule="auto"/>
        <w:rPr>
          <w:rFonts w:ascii="Calibri" w:hAnsi="Calibri" w:cs="Calibri"/>
          <w:bCs/>
        </w:rPr>
      </w:pPr>
      <w:r w:rsidRPr="00686E0A">
        <w:rPr>
          <w:rFonts w:ascii="Calibri" w:hAnsi="Calibri" w:cs="Calibri"/>
          <w:bCs/>
        </w:rPr>
        <w:t xml:space="preserve">“The Law Society, the Rule of Law and Independence of Lawyers”, Gordon </w:t>
      </w:r>
      <w:proofErr w:type="spellStart"/>
      <w:r w:rsidRPr="00686E0A">
        <w:rPr>
          <w:rFonts w:ascii="Calibri" w:hAnsi="Calibri" w:cs="Calibri"/>
          <w:bCs/>
        </w:rPr>
        <w:t>Turriff</w:t>
      </w:r>
      <w:proofErr w:type="spellEnd"/>
      <w:r w:rsidRPr="00686E0A">
        <w:rPr>
          <w:rFonts w:ascii="Calibri" w:hAnsi="Calibri" w:cs="Calibri"/>
          <w:bCs/>
        </w:rPr>
        <w:t xml:space="preserve">, QC, The Advocate, July 2009, </w:t>
      </w:r>
      <w:r w:rsidR="001604A8">
        <w:rPr>
          <w:rFonts w:ascii="Calibri" w:hAnsi="Calibri" w:cs="Calibri"/>
          <w:bCs/>
        </w:rPr>
        <w:t xml:space="preserve">Introduction Section </w:t>
      </w:r>
      <w:proofErr w:type="spellStart"/>
      <w:r w:rsidRPr="00686E0A">
        <w:rPr>
          <w:rFonts w:ascii="Calibri" w:hAnsi="Calibri" w:cs="Calibri"/>
          <w:bCs/>
        </w:rPr>
        <w:t>pps</w:t>
      </w:r>
      <w:proofErr w:type="spellEnd"/>
      <w:r w:rsidRPr="00686E0A">
        <w:rPr>
          <w:rFonts w:ascii="Calibri" w:hAnsi="Calibri" w:cs="Calibri"/>
          <w:bCs/>
        </w:rPr>
        <w:t xml:space="preserve">. 4-5 </w:t>
      </w:r>
    </w:p>
    <w:p w14:paraId="59BC1ED4" w14:textId="77777777" w:rsidR="00686E0A" w:rsidRDefault="00686E0A" w:rsidP="00686E0A">
      <w:pPr>
        <w:spacing w:after="0" w:line="240" w:lineRule="auto"/>
        <w:rPr>
          <w:rFonts w:ascii="Calibri" w:hAnsi="Calibri" w:cs="Calibri"/>
          <w:bCs/>
        </w:rPr>
      </w:pPr>
    </w:p>
    <w:p w14:paraId="3B7F5D6F" w14:textId="46FECE33" w:rsidR="00686E0A" w:rsidRDefault="001604A8" w:rsidP="00686E0A">
      <w:pPr>
        <w:spacing w:after="0" w:line="240" w:lineRule="auto"/>
        <w:rPr>
          <w:rFonts w:ascii="Calibri" w:hAnsi="Calibri" w:cs="Calibri"/>
          <w:bCs/>
        </w:rPr>
      </w:pPr>
      <w:hyperlink r:id="rId5" w:history="1">
        <w:r w:rsidRPr="00E54ED3">
          <w:rPr>
            <w:rStyle w:val="Hyperlink"/>
            <w:rFonts w:ascii="Calibri" w:hAnsi="Calibri" w:cs="Calibri"/>
            <w:bCs/>
          </w:rPr>
          <w:t>https://www.lawsociety.bc.ca/Website/media/Shared/docs/publications/reports/turriff-speech.pdf</w:t>
        </w:r>
      </w:hyperlink>
    </w:p>
    <w:p w14:paraId="7A76756E" w14:textId="77777777" w:rsidR="001604A8" w:rsidRPr="00686E0A" w:rsidRDefault="001604A8" w:rsidP="00686E0A">
      <w:pPr>
        <w:spacing w:after="0" w:line="240" w:lineRule="auto"/>
        <w:rPr>
          <w:rFonts w:ascii="Calibri" w:hAnsi="Calibri" w:cs="Calibri"/>
          <w:bCs/>
        </w:rPr>
      </w:pPr>
    </w:p>
    <w:p w14:paraId="6BC31587" w14:textId="77777777" w:rsidR="00686E0A" w:rsidRPr="00686E0A" w:rsidRDefault="00686E0A" w:rsidP="00686E0A">
      <w:pPr>
        <w:spacing w:after="0" w:line="240" w:lineRule="auto"/>
        <w:rPr>
          <w:rFonts w:ascii="Calibri" w:hAnsi="Calibri" w:cs="Calibri"/>
          <w:bCs/>
          <w:lang w:val="en-US"/>
        </w:rPr>
      </w:pPr>
    </w:p>
    <w:p w14:paraId="20302D90" w14:textId="6C75EEB5" w:rsidR="00686E0A" w:rsidRPr="00686E0A" w:rsidRDefault="00686E0A" w:rsidP="00686E0A">
      <w:pPr>
        <w:spacing w:after="0" w:line="240" w:lineRule="auto"/>
        <w:rPr>
          <w:rFonts w:ascii="Calibri" w:hAnsi="Calibri" w:cs="Calibri"/>
          <w:bCs/>
          <w:lang w:val="en-US"/>
        </w:rPr>
      </w:pPr>
      <w:r w:rsidRPr="00686E0A">
        <w:rPr>
          <w:rFonts w:ascii="Calibri" w:hAnsi="Calibri" w:cs="Calibri"/>
          <w:bCs/>
          <w:lang w:val="en-US"/>
        </w:rPr>
        <w:t>Re Hansard Spruce Mills</w:t>
      </w:r>
      <w:r w:rsidR="000B12F3">
        <w:rPr>
          <w:rFonts w:ascii="Calibri" w:hAnsi="Calibri" w:cs="Calibri"/>
          <w:bCs/>
          <w:lang w:val="en-US"/>
        </w:rPr>
        <w:t>,</w:t>
      </w:r>
      <w:r w:rsidRPr="00686E0A">
        <w:rPr>
          <w:rFonts w:ascii="Calibri" w:hAnsi="Calibri" w:cs="Calibri"/>
          <w:bCs/>
          <w:lang w:val="en-US"/>
        </w:rPr>
        <w:t xml:space="preserve"> 1954 </w:t>
      </w:r>
      <w:proofErr w:type="spellStart"/>
      <w:r w:rsidRPr="00686E0A">
        <w:rPr>
          <w:rFonts w:ascii="Calibri" w:hAnsi="Calibri" w:cs="Calibri"/>
          <w:bCs/>
          <w:lang w:val="en-US"/>
        </w:rPr>
        <w:t>CanLII</w:t>
      </w:r>
      <w:proofErr w:type="spellEnd"/>
      <w:r w:rsidRPr="00686E0A">
        <w:rPr>
          <w:rFonts w:ascii="Calibri" w:hAnsi="Calibri" w:cs="Calibri"/>
          <w:bCs/>
          <w:lang w:val="en-US"/>
        </w:rPr>
        <w:t xml:space="preserve"> 253 (BCSC)</w:t>
      </w:r>
    </w:p>
    <w:p w14:paraId="2EF99847" w14:textId="089954FF" w:rsidR="00686E0A" w:rsidRDefault="00686E0A" w:rsidP="00686E0A">
      <w:pPr>
        <w:spacing w:after="0" w:line="240" w:lineRule="auto"/>
        <w:rPr>
          <w:rFonts w:ascii="Calibri" w:hAnsi="Calibri" w:cs="Calibri"/>
          <w:bCs/>
          <w:lang w:val="en-US"/>
        </w:rPr>
      </w:pPr>
    </w:p>
    <w:p w14:paraId="2CF7C616" w14:textId="2B015065" w:rsidR="004F78D8" w:rsidRPr="00686E0A" w:rsidRDefault="004F78D8" w:rsidP="004F78D8">
      <w:pPr>
        <w:spacing w:after="0" w:line="240" w:lineRule="auto"/>
        <w:rPr>
          <w:rFonts w:ascii="Calibri" w:hAnsi="Calibri" w:cs="Calibri"/>
          <w:bCs/>
          <w:lang w:val="en-US"/>
        </w:rPr>
      </w:pPr>
      <w:r w:rsidRPr="00686E0A">
        <w:rPr>
          <w:rFonts w:ascii="Calibri" w:hAnsi="Calibri" w:cs="Calibri"/>
          <w:bCs/>
          <w:lang w:val="en-US"/>
        </w:rPr>
        <w:t>R. v. Sipes</w:t>
      </w:r>
      <w:r w:rsidR="000B12F3">
        <w:rPr>
          <w:rFonts w:ascii="Calibri" w:hAnsi="Calibri" w:cs="Calibri"/>
          <w:bCs/>
          <w:lang w:val="en-US"/>
        </w:rPr>
        <w:t>,</w:t>
      </w:r>
      <w:r w:rsidRPr="00686E0A">
        <w:rPr>
          <w:rFonts w:ascii="Calibri" w:hAnsi="Calibri" w:cs="Calibri"/>
          <w:bCs/>
          <w:lang w:val="en-US"/>
        </w:rPr>
        <w:t xml:space="preserve"> 2009 BCSC </w:t>
      </w:r>
      <w:proofErr w:type="gramStart"/>
      <w:r w:rsidRPr="00686E0A">
        <w:rPr>
          <w:rFonts w:ascii="Calibri" w:hAnsi="Calibri" w:cs="Calibri"/>
          <w:bCs/>
          <w:lang w:val="en-US"/>
        </w:rPr>
        <w:t>285</w:t>
      </w:r>
      <w:r>
        <w:rPr>
          <w:rFonts w:ascii="Calibri" w:hAnsi="Calibri" w:cs="Calibri"/>
          <w:bCs/>
          <w:lang w:val="en-US"/>
        </w:rPr>
        <w:t xml:space="preserve">  -</w:t>
      </w:r>
      <w:proofErr w:type="gramEnd"/>
      <w:r>
        <w:rPr>
          <w:rFonts w:ascii="Calibri" w:hAnsi="Calibri" w:cs="Calibri"/>
          <w:bCs/>
          <w:lang w:val="en-US"/>
        </w:rPr>
        <w:t xml:space="preserve"> paras 9 to 11</w:t>
      </w:r>
    </w:p>
    <w:p w14:paraId="7D5E7D3F" w14:textId="77777777" w:rsidR="004F78D8" w:rsidRDefault="004F78D8" w:rsidP="00686E0A">
      <w:pPr>
        <w:spacing w:after="0" w:line="240" w:lineRule="auto"/>
        <w:rPr>
          <w:rFonts w:ascii="Calibri" w:hAnsi="Calibri" w:cs="Calibri"/>
          <w:bCs/>
          <w:lang w:val="en-US"/>
        </w:rPr>
      </w:pPr>
    </w:p>
    <w:p w14:paraId="7350B6AA" w14:textId="16BB1666" w:rsidR="00686E0A" w:rsidRPr="00686E0A" w:rsidRDefault="00686E0A" w:rsidP="00686E0A">
      <w:pPr>
        <w:spacing w:after="0" w:line="240" w:lineRule="auto"/>
        <w:rPr>
          <w:rFonts w:ascii="Calibri" w:hAnsi="Calibri" w:cs="Calibri"/>
          <w:bCs/>
          <w:lang w:val="en-US"/>
        </w:rPr>
      </w:pPr>
      <w:r w:rsidRPr="00686E0A">
        <w:rPr>
          <w:rFonts w:ascii="Calibri" w:hAnsi="Calibri" w:cs="Calibri"/>
          <w:bCs/>
          <w:lang w:val="en-US"/>
        </w:rPr>
        <w:t xml:space="preserve">David </w:t>
      </w:r>
      <w:proofErr w:type="spellStart"/>
      <w:r w:rsidRPr="00686E0A">
        <w:rPr>
          <w:rFonts w:ascii="Calibri" w:hAnsi="Calibri" w:cs="Calibri"/>
          <w:bCs/>
          <w:lang w:val="en-US"/>
        </w:rPr>
        <w:t>Polowin</w:t>
      </w:r>
      <w:proofErr w:type="spellEnd"/>
      <w:r w:rsidRPr="00686E0A">
        <w:rPr>
          <w:rFonts w:ascii="Calibri" w:hAnsi="Calibri" w:cs="Calibri"/>
          <w:bCs/>
          <w:lang w:val="en-US"/>
        </w:rPr>
        <w:t xml:space="preserve"> v. Dominion Canada</w:t>
      </w:r>
      <w:r w:rsidR="002D6856">
        <w:rPr>
          <w:rFonts w:ascii="Calibri" w:hAnsi="Calibri" w:cs="Calibri"/>
          <w:bCs/>
          <w:lang w:val="en-US"/>
        </w:rPr>
        <w:t>,</w:t>
      </w:r>
      <w:r w:rsidRPr="00686E0A">
        <w:rPr>
          <w:rFonts w:ascii="Calibri" w:hAnsi="Calibri" w:cs="Calibri"/>
          <w:bCs/>
          <w:lang w:val="en-US"/>
        </w:rPr>
        <w:t xml:space="preserve"> 2005 </w:t>
      </w:r>
      <w:proofErr w:type="spellStart"/>
      <w:r w:rsidRPr="00686E0A">
        <w:rPr>
          <w:rFonts w:ascii="Calibri" w:hAnsi="Calibri" w:cs="Calibri"/>
          <w:bCs/>
          <w:lang w:val="en-US"/>
        </w:rPr>
        <w:t>CanLII</w:t>
      </w:r>
      <w:proofErr w:type="spellEnd"/>
      <w:r w:rsidRPr="00686E0A">
        <w:rPr>
          <w:rFonts w:ascii="Calibri" w:hAnsi="Calibri" w:cs="Calibri"/>
          <w:bCs/>
          <w:lang w:val="en-US"/>
        </w:rPr>
        <w:t xml:space="preserve"> 21093 (ON CA)</w:t>
      </w:r>
      <w:r w:rsidR="002D6856">
        <w:rPr>
          <w:rFonts w:ascii="Calibri" w:hAnsi="Calibri" w:cs="Calibri"/>
          <w:bCs/>
          <w:lang w:val="en-US"/>
        </w:rPr>
        <w:t xml:space="preserve"> – paras 60 </w:t>
      </w:r>
      <w:r w:rsidR="00CF5E2A">
        <w:rPr>
          <w:rFonts w:ascii="Calibri" w:hAnsi="Calibri" w:cs="Calibri"/>
          <w:bCs/>
          <w:lang w:val="en-US"/>
        </w:rPr>
        <w:t>to</w:t>
      </w:r>
      <w:r w:rsidR="002D6856">
        <w:rPr>
          <w:rFonts w:ascii="Calibri" w:hAnsi="Calibri" w:cs="Calibri"/>
          <w:bCs/>
          <w:lang w:val="en-US"/>
        </w:rPr>
        <w:t xml:space="preserve"> 63 &amp; </w:t>
      </w:r>
      <w:r w:rsidR="00CF5E2A">
        <w:rPr>
          <w:rFonts w:ascii="Calibri" w:hAnsi="Calibri" w:cs="Calibri"/>
          <w:bCs/>
          <w:lang w:val="en-US"/>
        </w:rPr>
        <w:t xml:space="preserve">119 </w:t>
      </w:r>
      <w:r w:rsidR="009D5CB3">
        <w:rPr>
          <w:rFonts w:ascii="Calibri" w:hAnsi="Calibri" w:cs="Calibri"/>
          <w:bCs/>
          <w:lang w:val="en-US"/>
        </w:rPr>
        <w:t>to</w:t>
      </w:r>
      <w:r w:rsidR="00CF5E2A">
        <w:rPr>
          <w:rFonts w:ascii="Calibri" w:hAnsi="Calibri" w:cs="Calibri"/>
          <w:bCs/>
          <w:lang w:val="en-US"/>
        </w:rPr>
        <w:t xml:space="preserve"> 12</w:t>
      </w:r>
      <w:r w:rsidR="009D5CB3">
        <w:rPr>
          <w:rFonts w:ascii="Calibri" w:hAnsi="Calibri" w:cs="Calibri"/>
          <w:bCs/>
          <w:lang w:val="en-US"/>
        </w:rPr>
        <w:t>3</w:t>
      </w:r>
    </w:p>
    <w:p w14:paraId="25C4C246" w14:textId="77777777" w:rsidR="00686E0A" w:rsidRPr="00686E0A" w:rsidRDefault="00686E0A" w:rsidP="00686E0A">
      <w:pPr>
        <w:spacing w:after="0" w:line="240" w:lineRule="auto"/>
        <w:rPr>
          <w:rFonts w:ascii="Calibri" w:hAnsi="Calibri" w:cs="Calibri"/>
          <w:bCs/>
          <w:lang w:val="en-US"/>
        </w:rPr>
      </w:pPr>
    </w:p>
    <w:p w14:paraId="5305265F" w14:textId="781519F0" w:rsidR="00686E0A" w:rsidRDefault="00686E0A" w:rsidP="00686E0A">
      <w:pPr>
        <w:spacing w:after="0" w:line="240" w:lineRule="auto"/>
        <w:rPr>
          <w:rFonts w:ascii="Calibri" w:hAnsi="Calibri" w:cs="Calibri"/>
          <w:bCs/>
          <w:lang w:val="en-US"/>
        </w:rPr>
      </w:pPr>
      <w:r w:rsidRPr="00686E0A">
        <w:rPr>
          <w:rFonts w:ascii="Calibri" w:hAnsi="Calibri" w:cs="Calibri"/>
          <w:bCs/>
          <w:lang w:val="en-US"/>
        </w:rPr>
        <w:t xml:space="preserve">R. v Harrer [1995] 3 S.C.R. 562 (S.C.C.) </w:t>
      </w:r>
      <w:r w:rsidR="001A39D8">
        <w:rPr>
          <w:rFonts w:ascii="Calibri" w:hAnsi="Calibri" w:cs="Calibri"/>
          <w:bCs/>
          <w:lang w:val="en-US"/>
        </w:rPr>
        <w:t xml:space="preserve">– paras 44 to 46 </w:t>
      </w:r>
    </w:p>
    <w:p w14:paraId="5C910319" w14:textId="4230BA1D" w:rsidR="00E415C7" w:rsidRDefault="00E415C7" w:rsidP="00686E0A">
      <w:pPr>
        <w:spacing w:after="0" w:line="240" w:lineRule="auto"/>
        <w:rPr>
          <w:rFonts w:ascii="Calibri" w:hAnsi="Calibri" w:cs="Calibri"/>
          <w:bCs/>
          <w:lang w:val="en-US"/>
        </w:rPr>
      </w:pPr>
    </w:p>
    <w:p w14:paraId="0A0C1A98" w14:textId="77777777" w:rsidR="006027CE" w:rsidRDefault="006027CE" w:rsidP="00686E0A">
      <w:pPr>
        <w:spacing w:after="0" w:line="240" w:lineRule="auto"/>
        <w:rPr>
          <w:rFonts w:ascii="Calibri" w:hAnsi="Calibri" w:cs="Calibri"/>
          <w:b/>
          <w:u w:val="single"/>
          <w:lang w:val="en-US"/>
        </w:rPr>
      </w:pPr>
    </w:p>
    <w:p w14:paraId="6260B0D1" w14:textId="5ACF4B4C" w:rsidR="00E415C7" w:rsidRPr="00E415C7" w:rsidRDefault="00E415C7" w:rsidP="00686E0A">
      <w:pPr>
        <w:spacing w:after="0" w:line="240" w:lineRule="auto"/>
        <w:rPr>
          <w:rFonts w:ascii="Calibri" w:hAnsi="Calibri" w:cs="Calibri"/>
          <w:b/>
          <w:u w:val="single"/>
          <w:lang w:val="en-US"/>
        </w:rPr>
      </w:pPr>
      <w:r w:rsidRPr="00E415C7">
        <w:rPr>
          <w:rFonts w:ascii="Calibri" w:hAnsi="Calibri" w:cs="Calibri"/>
          <w:b/>
          <w:u w:val="single"/>
          <w:lang w:val="en-US"/>
        </w:rPr>
        <w:t xml:space="preserve">Unit 2 </w:t>
      </w:r>
      <w:r>
        <w:rPr>
          <w:rFonts w:ascii="Calibri" w:hAnsi="Calibri" w:cs="Calibri"/>
          <w:b/>
          <w:u w:val="single"/>
          <w:lang w:val="en-US"/>
        </w:rPr>
        <w:t xml:space="preserve"> </w:t>
      </w:r>
    </w:p>
    <w:p w14:paraId="5875A9E9" w14:textId="77777777" w:rsidR="00686E0A" w:rsidRPr="00686E0A" w:rsidRDefault="00686E0A" w:rsidP="00980EAE">
      <w:pPr>
        <w:spacing w:after="0" w:line="240" w:lineRule="auto"/>
        <w:rPr>
          <w:rFonts w:ascii="Calibri" w:hAnsi="Calibri" w:cs="Calibri"/>
          <w:bCs/>
          <w:lang w:val="en-US"/>
        </w:rPr>
      </w:pPr>
    </w:p>
    <w:p w14:paraId="7E2EA560" w14:textId="3B144A29" w:rsidR="009B0855" w:rsidRDefault="001C7CEF" w:rsidP="00686E0A">
      <w:pPr>
        <w:spacing w:after="0" w:line="240" w:lineRule="auto"/>
        <w:rPr>
          <w:rFonts w:ascii="Calibri" w:hAnsi="Calibri" w:cs="Calibri"/>
          <w:bCs/>
          <w:lang w:val="en-US"/>
        </w:rPr>
      </w:pPr>
      <w:r w:rsidRPr="001C7CEF">
        <w:rPr>
          <w:rFonts w:ascii="Calibri" w:hAnsi="Calibri" w:cs="Calibri"/>
          <w:bCs/>
          <w:lang w:val="en-US"/>
        </w:rPr>
        <w:t xml:space="preserve">R. v. Noble, 1997 </w:t>
      </w:r>
      <w:proofErr w:type="spellStart"/>
      <w:r w:rsidRPr="001C7CEF">
        <w:rPr>
          <w:rFonts w:ascii="Calibri" w:hAnsi="Calibri" w:cs="Calibri"/>
          <w:bCs/>
          <w:lang w:val="en-US"/>
        </w:rPr>
        <w:t>CanLII</w:t>
      </w:r>
      <w:proofErr w:type="spellEnd"/>
      <w:r w:rsidRPr="001C7CEF">
        <w:rPr>
          <w:rFonts w:ascii="Calibri" w:hAnsi="Calibri" w:cs="Calibri"/>
          <w:bCs/>
          <w:lang w:val="en-US"/>
        </w:rPr>
        <w:t xml:space="preserve"> 388 (SCC)</w:t>
      </w:r>
      <w:r>
        <w:rPr>
          <w:rFonts w:ascii="Calibri" w:hAnsi="Calibri" w:cs="Calibri"/>
          <w:bCs/>
          <w:lang w:val="en-US"/>
        </w:rPr>
        <w:t xml:space="preserve"> – headnote </w:t>
      </w:r>
    </w:p>
    <w:p w14:paraId="213C7F91" w14:textId="77777777" w:rsidR="009B0855" w:rsidRDefault="009B0855" w:rsidP="00686E0A">
      <w:pPr>
        <w:spacing w:after="0" w:line="240" w:lineRule="auto"/>
        <w:rPr>
          <w:rFonts w:ascii="Calibri" w:hAnsi="Calibri" w:cs="Calibri"/>
          <w:bCs/>
          <w:lang w:val="en-US"/>
        </w:rPr>
      </w:pPr>
    </w:p>
    <w:p w14:paraId="0AFDA9F2" w14:textId="4492124C" w:rsidR="00E3517B" w:rsidRDefault="00E3517B" w:rsidP="00686E0A">
      <w:pPr>
        <w:spacing w:after="0" w:line="240" w:lineRule="auto"/>
        <w:rPr>
          <w:rFonts w:ascii="Calibri" w:hAnsi="Calibri" w:cs="Calibri"/>
          <w:bCs/>
          <w:lang w:val="en-US"/>
        </w:rPr>
      </w:pPr>
      <w:r w:rsidRPr="00E3517B">
        <w:rPr>
          <w:rFonts w:ascii="Calibri" w:hAnsi="Calibri" w:cs="Calibri"/>
          <w:bCs/>
          <w:lang w:val="en-US"/>
        </w:rPr>
        <w:t>R. v. J.H.S., 2008 SCC 30 (</w:t>
      </w:r>
      <w:proofErr w:type="spellStart"/>
      <w:r w:rsidRPr="00E3517B">
        <w:rPr>
          <w:rFonts w:ascii="Calibri" w:hAnsi="Calibri" w:cs="Calibri"/>
          <w:bCs/>
          <w:lang w:val="en-US"/>
        </w:rPr>
        <w:t>CanLII</w:t>
      </w:r>
      <w:proofErr w:type="spellEnd"/>
      <w:r w:rsidRPr="00E3517B">
        <w:rPr>
          <w:rFonts w:ascii="Calibri" w:hAnsi="Calibri" w:cs="Calibri"/>
          <w:bCs/>
          <w:lang w:val="en-US"/>
        </w:rPr>
        <w:t>)</w:t>
      </w:r>
      <w:r w:rsidR="00412423">
        <w:rPr>
          <w:rFonts w:ascii="Calibri" w:hAnsi="Calibri" w:cs="Calibri"/>
          <w:bCs/>
          <w:lang w:val="en-US"/>
        </w:rPr>
        <w:t xml:space="preserve"> – headnote &amp; </w:t>
      </w:r>
      <w:r w:rsidR="00397D95">
        <w:rPr>
          <w:rFonts w:ascii="Calibri" w:hAnsi="Calibri" w:cs="Calibri"/>
          <w:bCs/>
          <w:lang w:val="en-US"/>
        </w:rPr>
        <w:t xml:space="preserve">paras 8 to 13 </w:t>
      </w:r>
    </w:p>
    <w:p w14:paraId="32D4D996" w14:textId="26BD6ED2" w:rsidR="00CD7FA3" w:rsidRDefault="00CD7FA3" w:rsidP="00686E0A">
      <w:pPr>
        <w:spacing w:after="0" w:line="240" w:lineRule="auto"/>
        <w:rPr>
          <w:rFonts w:ascii="Calibri" w:hAnsi="Calibri" w:cs="Calibri"/>
          <w:bCs/>
          <w:lang w:val="en-US"/>
        </w:rPr>
      </w:pPr>
    </w:p>
    <w:p w14:paraId="4C513F49" w14:textId="63F5BAEB" w:rsidR="00CD7FA3" w:rsidRDefault="00CD7FA3" w:rsidP="00686E0A">
      <w:pPr>
        <w:spacing w:after="0" w:line="240" w:lineRule="auto"/>
        <w:rPr>
          <w:rFonts w:ascii="Calibri" w:hAnsi="Calibri" w:cs="Calibri"/>
          <w:bCs/>
          <w:lang w:val="en-US"/>
        </w:rPr>
      </w:pPr>
    </w:p>
    <w:p w14:paraId="6510BCAF" w14:textId="3ACED901" w:rsidR="00CD7FA3" w:rsidRDefault="00CD7FA3" w:rsidP="00686E0A">
      <w:pPr>
        <w:spacing w:after="0" w:line="240" w:lineRule="auto"/>
        <w:rPr>
          <w:rFonts w:ascii="Calibri" w:hAnsi="Calibri" w:cs="Calibri"/>
          <w:bCs/>
          <w:lang w:val="en-US"/>
        </w:rPr>
      </w:pPr>
      <w:r>
        <w:rPr>
          <w:rFonts w:ascii="Calibri" w:hAnsi="Calibri" w:cs="Calibri"/>
          <w:bCs/>
          <w:lang w:val="en-US"/>
        </w:rPr>
        <w:t xml:space="preserve">Vancouver Police Department </w:t>
      </w:r>
      <w:r w:rsidR="00A66D81">
        <w:rPr>
          <w:rFonts w:ascii="Calibri" w:hAnsi="Calibri" w:cs="Calibri"/>
          <w:bCs/>
          <w:lang w:val="en-US"/>
        </w:rPr>
        <w:t>regulations and procedures</w:t>
      </w:r>
      <w:r>
        <w:rPr>
          <w:rFonts w:ascii="Calibri" w:hAnsi="Calibri" w:cs="Calibri"/>
          <w:bCs/>
          <w:lang w:val="en-US"/>
        </w:rPr>
        <w:t xml:space="preserve"> manual </w:t>
      </w:r>
      <w:r w:rsidR="00D83D84">
        <w:rPr>
          <w:rFonts w:ascii="Calibri" w:hAnsi="Calibri" w:cs="Calibri"/>
          <w:bCs/>
          <w:lang w:val="en-US"/>
        </w:rPr>
        <w:t>pages 40 to 41:</w:t>
      </w:r>
    </w:p>
    <w:p w14:paraId="25AB1AFA" w14:textId="77777777" w:rsidR="00D83D84" w:rsidRDefault="00D83D84" w:rsidP="00686E0A">
      <w:pPr>
        <w:spacing w:after="0" w:line="240" w:lineRule="auto"/>
        <w:rPr>
          <w:rFonts w:ascii="Calibri" w:hAnsi="Calibri" w:cs="Calibri"/>
          <w:bCs/>
          <w:lang w:val="en-US"/>
        </w:rPr>
      </w:pPr>
    </w:p>
    <w:p w14:paraId="25F49F02" w14:textId="6F779E05" w:rsidR="00CD7FA3" w:rsidRDefault="00CD7FA3" w:rsidP="00686E0A">
      <w:pPr>
        <w:spacing w:after="0" w:line="240" w:lineRule="auto"/>
        <w:rPr>
          <w:rFonts w:ascii="Calibri" w:hAnsi="Calibri" w:cs="Calibri"/>
          <w:bCs/>
          <w:lang w:val="en-US"/>
        </w:rPr>
      </w:pPr>
      <w:hyperlink r:id="rId6" w:history="1">
        <w:r w:rsidRPr="00E54ED3">
          <w:rPr>
            <w:rStyle w:val="Hyperlink"/>
            <w:rFonts w:ascii="Calibri" w:hAnsi="Calibri" w:cs="Calibri"/>
            <w:bCs/>
            <w:lang w:val="en-US"/>
          </w:rPr>
          <w:t>https://vpd.ca/wp-content/uploads/2021/06/vpd-manual-regulations-procedures.pdf</w:t>
        </w:r>
      </w:hyperlink>
    </w:p>
    <w:p w14:paraId="6224EDA6" w14:textId="77777777" w:rsidR="00CD7FA3" w:rsidRDefault="00CD7FA3" w:rsidP="00686E0A">
      <w:pPr>
        <w:spacing w:after="0" w:line="240" w:lineRule="auto"/>
        <w:rPr>
          <w:rFonts w:ascii="Calibri" w:hAnsi="Calibri" w:cs="Calibri"/>
          <w:bCs/>
          <w:lang w:val="en-US"/>
        </w:rPr>
      </w:pPr>
    </w:p>
    <w:p w14:paraId="30824B71" w14:textId="4C70233F" w:rsidR="00412423" w:rsidRDefault="00813BEA" w:rsidP="00686E0A">
      <w:pPr>
        <w:spacing w:after="0" w:line="240" w:lineRule="auto"/>
        <w:rPr>
          <w:rFonts w:ascii="Calibri" w:hAnsi="Calibri" w:cs="Calibri"/>
          <w:bCs/>
          <w:lang w:val="en-US"/>
        </w:rPr>
      </w:pPr>
      <w:proofErr w:type="gramStart"/>
      <w:r w:rsidRPr="00813BEA">
        <w:rPr>
          <w:rFonts w:ascii="Calibri" w:hAnsi="Calibri" w:cs="Calibri"/>
          <w:bCs/>
          <w:lang w:val="en-US"/>
        </w:rPr>
        <w:t>R .</w:t>
      </w:r>
      <w:proofErr w:type="gramEnd"/>
      <w:r w:rsidRPr="00813BEA">
        <w:rPr>
          <w:rFonts w:ascii="Calibri" w:hAnsi="Calibri" w:cs="Calibri"/>
          <w:bCs/>
          <w:lang w:val="en-US"/>
        </w:rPr>
        <w:t xml:space="preserve">v. Cyr 1997 </w:t>
      </w:r>
      <w:proofErr w:type="spellStart"/>
      <w:r w:rsidRPr="00813BEA">
        <w:rPr>
          <w:rFonts w:ascii="Calibri" w:hAnsi="Calibri" w:cs="Calibri"/>
          <w:bCs/>
          <w:lang w:val="en-US"/>
        </w:rPr>
        <w:t>CanLII</w:t>
      </w:r>
      <w:proofErr w:type="spellEnd"/>
      <w:r w:rsidRPr="00813BEA">
        <w:rPr>
          <w:rFonts w:ascii="Calibri" w:hAnsi="Calibri" w:cs="Calibri"/>
          <w:bCs/>
          <w:lang w:val="en-US"/>
        </w:rPr>
        <w:t xml:space="preserve"> 1039 (BCSC)</w:t>
      </w:r>
    </w:p>
    <w:p w14:paraId="568DAA7F" w14:textId="3E3C3A6B" w:rsidR="00813BEA" w:rsidRDefault="00813BEA" w:rsidP="00686E0A">
      <w:pPr>
        <w:spacing w:after="0" w:line="240" w:lineRule="auto"/>
        <w:rPr>
          <w:rFonts w:ascii="Calibri" w:hAnsi="Calibri" w:cs="Calibri"/>
          <w:bCs/>
          <w:lang w:val="en-US"/>
        </w:rPr>
      </w:pPr>
    </w:p>
    <w:p w14:paraId="2799DDEF" w14:textId="5D5B589A" w:rsidR="006B5FB3" w:rsidRPr="003A26DD" w:rsidRDefault="006B5FB3" w:rsidP="003A26DD">
      <w:r w:rsidRPr="00766393">
        <w:t>R. v. Turcotte, 2005 SCC 50 (CanLII)</w:t>
      </w:r>
      <w:r>
        <w:t xml:space="preserve"> </w:t>
      </w:r>
      <w:r w:rsidR="003A26DD">
        <w:t>- h</w:t>
      </w:r>
      <w:r>
        <w:t xml:space="preserve">eadnote  </w:t>
      </w:r>
    </w:p>
    <w:p w14:paraId="71E482FD" w14:textId="7458D07F" w:rsidR="00686E0A" w:rsidRPr="00686E0A" w:rsidRDefault="00686E0A" w:rsidP="00686E0A">
      <w:pPr>
        <w:spacing w:after="0" w:line="240" w:lineRule="auto"/>
        <w:rPr>
          <w:rFonts w:ascii="Calibri" w:hAnsi="Calibri" w:cs="Calibri"/>
          <w:bCs/>
          <w:lang w:val="en-US"/>
        </w:rPr>
      </w:pPr>
      <w:r w:rsidRPr="00686E0A">
        <w:rPr>
          <w:rFonts w:ascii="Calibri" w:hAnsi="Calibri" w:cs="Calibri"/>
          <w:bCs/>
          <w:lang w:val="en-US"/>
        </w:rPr>
        <w:t>R. v. Lyttle</w:t>
      </w:r>
      <w:r w:rsidR="006B3520">
        <w:rPr>
          <w:rFonts w:ascii="Calibri" w:hAnsi="Calibri" w:cs="Calibri"/>
          <w:bCs/>
          <w:lang w:val="en-US"/>
        </w:rPr>
        <w:t>,</w:t>
      </w:r>
      <w:r w:rsidRPr="00686E0A">
        <w:rPr>
          <w:rFonts w:ascii="Calibri" w:hAnsi="Calibri" w:cs="Calibri"/>
          <w:bCs/>
          <w:lang w:val="en-US"/>
        </w:rPr>
        <w:t xml:space="preserve"> 2004 SCC 5</w:t>
      </w:r>
      <w:r w:rsidR="008F3BE1">
        <w:rPr>
          <w:rFonts w:ascii="Calibri" w:hAnsi="Calibri" w:cs="Calibri"/>
          <w:bCs/>
          <w:lang w:val="en-US"/>
        </w:rPr>
        <w:t xml:space="preserve"> – headnote </w:t>
      </w:r>
    </w:p>
    <w:p w14:paraId="74A49E33" w14:textId="77777777" w:rsidR="00686E0A" w:rsidRPr="00686E0A" w:rsidRDefault="00686E0A" w:rsidP="00686E0A">
      <w:pPr>
        <w:spacing w:after="0" w:line="240" w:lineRule="auto"/>
        <w:rPr>
          <w:rFonts w:ascii="Calibri" w:hAnsi="Calibri" w:cs="Calibri"/>
          <w:bCs/>
          <w:lang w:val="en-US"/>
        </w:rPr>
      </w:pPr>
    </w:p>
    <w:p w14:paraId="66820803" w14:textId="125E9AB2" w:rsidR="00686E0A" w:rsidRDefault="00686E0A" w:rsidP="00686E0A">
      <w:pPr>
        <w:spacing w:after="0" w:line="240" w:lineRule="auto"/>
        <w:rPr>
          <w:rFonts w:ascii="Calibri" w:hAnsi="Calibri" w:cs="Calibri"/>
          <w:bCs/>
          <w:lang w:val="en-US"/>
        </w:rPr>
      </w:pPr>
      <w:r w:rsidRPr="00686E0A">
        <w:rPr>
          <w:rFonts w:ascii="Calibri" w:hAnsi="Calibri" w:cs="Calibri"/>
          <w:bCs/>
          <w:lang w:val="en-US"/>
        </w:rPr>
        <w:t>R. v. Kehler</w:t>
      </w:r>
      <w:r w:rsidR="006B3520">
        <w:rPr>
          <w:rFonts w:ascii="Calibri" w:hAnsi="Calibri" w:cs="Calibri"/>
          <w:bCs/>
          <w:lang w:val="en-US"/>
        </w:rPr>
        <w:t>,</w:t>
      </w:r>
      <w:r w:rsidRPr="00686E0A">
        <w:rPr>
          <w:rFonts w:ascii="Calibri" w:hAnsi="Calibri" w:cs="Calibri"/>
          <w:bCs/>
          <w:lang w:val="en-US"/>
        </w:rPr>
        <w:t xml:space="preserve"> 2004 SCC 11</w:t>
      </w:r>
      <w:r w:rsidR="008F3BE1">
        <w:rPr>
          <w:rFonts w:ascii="Calibri" w:hAnsi="Calibri" w:cs="Calibri"/>
          <w:bCs/>
          <w:lang w:val="en-US"/>
        </w:rPr>
        <w:t xml:space="preserve"> </w:t>
      </w:r>
    </w:p>
    <w:p w14:paraId="13952551" w14:textId="4E13258D" w:rsidR="008559D9" w:rsidRDefault="008559D9" w:rsidP="00686E0A">
      <w:pPr>
        <w:spacing w:after="0" w:line="240" w:lineRule="auto"/>
        <w:rPr>
          <w:rFonts w:ascii="Calibri" w:hAnsi="Calibri" w:cs="Calibri"/>
          <w:bCs/>
          <w:lang w:val="en-US"/>
        </w:rPr>
      </w:pPr>
    </w:p>
    <w:p w14:paraId="7A48845E" w14:textId="447252D7" w:rsidR="006B3520" w:rsidRDefault="00C01556" w:rsidP="00686E0A">
      <w:pPr>
        <w:spacing w:after="0" w:line="240" w:lineRule="auto"/>
        <w:rPr>
          <w:rFonts w:ascii="Calibri" w:hAnsi="Calibri" w:cs="Calibri"/>
          <w:bCs/>
          <w:lang w:val="en-US"/>
        </w:rPr>
      </w:pPr>
      <w:r w:rsidRPr="00C01556">
        <w:rPr>
          <w:rFonts w:ascii="Calibri" w:hAnsi="Calibri" w:cs="Calibri"/>
          <w:bCs/>
          <w:lang w:val="en-US"/>
        </w:rPr>
        <w:t xml:space="preserve">R. v. Cook, 1997 </w:t>
      </w:r>
      <w:proofErr w:type="spellStart"/>
      <w:r w:rsidRPr="00C01556">
        <w:rPr>
          <w:rFonts w:ascii="Calibri" w:hAnsi="Calibri" w:cs="Calibri"/>
          <w:bCs/>
          <w:lang w:val="en-US"/>
        </w:rPr>
        <w:t>CanLII</w:t>
      </w:r>
      <w:proofErr w:type="spellEnd"/>
      <w:r w:rsidRPr="00C01556">
        <w:rPr>
          <w:rFonts w:ascii="Calibri" w:hAnsi="Calibri" w:cs="Calibri"/>
          <w:bCs/>
          <w:lang w:val="en-US"/>
        </w:rPr>
        <w:t xml:space="preserve"> 392 (SCC)</w:t>
      </w:r>
      <w:r w:rsidR="00F05A26">
        <w:rPr>
          <w:rFonts w:ascii="Calibri" w:hAnsi="Calibri" w:cs="Calibri"/>
          <w:bCs/>
          <w:lang w:val="en-US"/>
        </w:rPr>
        <w:t xml:space="preserve"> – headnote </w:t>
      </w:r>
    </w:p>
    <w:p w14:paraId="7B4AFDCF" w14:textId="77777777" w:rsidR="00F05A26" w:rsidRDefault="00F05A26" w:rsidP="00686E0A">
      <w:pPr>
        <w:spacing w:after="0" w:line="240" w:lineRule="auto"/>
        <w:rPr>
          <w:rFonts w:ascii="Calibri" w:hAnsi="Calibri" w:cs="Calibri"/>
          <w:bCs/>
          <w:lang w:val="en-US"/>
        </w:rPr>
      </w:pPr>
    </w:p>
    <w:p w14:paraId="3B71003E" w14:textId="4F92B962" w:rsidR="00C21A47" w:rsidRDefault="00C21A47" w:rsidP="00686E0A">
      <w:pPr>
        <w:spacing w:after="0" w:line="240" w:lineRule="auto"/>
        <w:rPr>
          <w:rFonts w:ascii="Calibri" w:hAnsi="Calibri" w:cs="Calibri"/>
          <w:bCs/>
          <w:lang w:val="en-US"/>
        </w:rPr>
      </w:pPr>
      <w:r>
        <w:rPr>
          <w:rFonts w:ascii="Calibri" w:hAnsi="Calibri" w:cs="Calibri"/>
          <w:bCs/>
          <w:lang w:val="en-US"/>
        </w:rPr>
        <w:t xml:space="preserve">Section 650 of the </w:t>
      </w:r>
      <w:r w:rsidRPr="00375AC9">
        <w:rPr>
          <w:rFonts w:ascii="Calibri" w:hAnsi="Calibri" w:cs="Calibri"/>
          <w:bCs/>
          <w:i/>
          <w:iCs/>
          <w:lang w:val="en-US"/>
        </w:rPr>
        <w:t>Criminal Code</w:t>
      </w:r>
      <w:r>
        <w:rPr>
          <w:rFonts w:ascii="Calibri" w:hAnsi="Calibri" w:cs="Calibri"/>
          <w:bCs/>
          <w:lang w:val="en-US"/>
        </w:rPr>
        <w:t xml:space="preserve"> </w:t>
      </w:r>
    </w:p>
    <w:p w14:paraId="4045D335" w14:textId="77777777" w:rsidR="00375AC9" w:rsidRDefault="00375AC9" w:rsidP="00686E0A">
      <w:pPr>
        <w:spacing w:after="0" w:line="240" w:lineRule="auto"/>
        <w:rPr>
          <w:rFonts w:ascii="Calibri" w:hAnsi="Calibri" w:cs="Calibri"/>
          <w:bCs/>
          <w:lang w:val="en-US"/>
        </w:rPr>
      </w:pPr>
    </w:p>
    <w:p w14:paraId="456F71CE" w14:textId="1383BF12" w:rsidR="008559D9" w:rsidRPr="00686E0A" w:rsidRDefault="008559D9" w:rsidP="00686E0A">
      <w:pPr>
        <w:spacing w:after="0" w:line="240" w:lineRule="auto"/>
        <w:rPr>
          <w:rFonts w:ascii="Calibri" w:hAnsi="Calibri" w:cs="Calibri"/>
          <w:bCs/>
          <w:lang w:val="en-US"/>
        </w:rPr>
      </w:pPr>
      <w:r>
        <w:rPr>
          <w:rFonts w:ascii="Calibri" w:hAnsi="Calibri" w:cs="Calibri"/>
          <w:bCs/>
          <w:lang w:val="en-US"/>
        </w:rPr>
        <w:t xml:space="preserve">Case excerpts in summary </w:t>
      </w:r>
    </w:p>
    <w:p w14:paraId="0E0A482B" w14:textId="34DB38FD" w:rsidR="00686E0A" w:rsidRDefault="00686E0A"/>
    <w:p w14:paraId="59261CF2" w14:textId="038D4F30" w:rsidR="00D423B1" w:rsidRDefault="00D423B1">
      <w:pPr>
        <w:rPr>
          <w:b/>
          <w:bCs/>
          <w:u w:val="single"/>
        </w:rPr>
      </w:pPr>
      <w:r w:rsidRPr="00D423B1">
        <w:rPr>
          <w:b/>
          <w:bCs/>
          <w:u w:val="single"/>
        </w:rPr>
        <w:t xml:space="preserve">Unit 3 </w:t>
      </w:r>
    </w:p>
    <w:p w14:paraId="5F239058" w14:textId="4D040B60" w:rsidR="00D423B1" w:rsidRDefault="00A723F5">
      <w:r w:rsidRPr="00A723F5">
        <w:t>Graat v. The Queen, 1982 CanLII 33 (SCC)</w:t>
      </w:r>
      <w:r w:rsidR="00FC06BF">
        <w:t xml:space="preserve"> – headnote and </w:t>
      </w:r>
      <w:r w:rsidR="002F07AF">
        <w:t>section VII “Conclusion”</w:t>
      </w:r>
    </w:p>
    <w:p w14:paraId="2F35357F" w14:textId="28A7FE5E" w:rsidR="00793691" w:rsidRDefault="00793691">
      <w:r w:rsidRPr="00793691">
        <w:t>R. v. Bingley, 2017 SCC 12 (CanLII)</w:t>
      </w:r>
      <w:r w:rsidR="00FA4C72">
        <w:t xml:space="preserve"> – headnote </w:t>
      </w:r>
      <w:r w:rsidR="00BB0932">
        <w:t xml:space="preserve">and paras 13 to </w:t>
      </w:r>
      <w:r w:rsidR="00B36B21">
        <w:t>24</w:t>
      </w:r>
    </w:p>
    <w:p w14:paraId="40588BA5" w14:textId="77777777" w:rsidR="00C21083" w:rsidRPr="00CA5ED0" w:rsidRDefault="00C21083" w:rsidP="00C21083">
      <w:pPr>
        <w:rPr>
          <w:rFonts w:cstheme="minorHAnsi"/>
          <w:bCs/>
        </w:rPr>
      </w:pPr>
      <w:r w:rsidRPr="007404C2">
        <w:rPr>
          <w:rFonts w:cstheme="minorHAnsi"/>
          <w:bCs/>
          <w:i/>
          <w:iCs/>
        </w:rPr>
        <w:lastRenderedPageBreak/>
        <w:t>Canada Evidence Act</w:t>
      </w:r>
      <w:r w:rsidRPr="00CA5ED0">
        <w:rPr>
          <w:rFonts w:cstheme="minorHAnsi"/>
          <w:bCs/>
        </w:rPr>
        <w:t>: sections 3, 4, 5, 6, 6.1, 7, 8, 9, 10, 11, 12, 13, 14, 15, 16, 16.1</w:t>
      </w:r>
    </w:p>
    <w:p w14:paraId="3A71F1DD" w14:textId="04CE0F96" w:rsidR="00C21083" w:rsidRDefault="00373AD1">
      <w:pPr>
        <w:rPr>
          <w:rFonts w:cstheme="minorHAnsi"/>
          <w:bCs/>
        </w:rPr>
      </w:pPr>
      <w:r w:rsidRPr="007404C2">
        <w:rPr>
          <w:rFonts w:cstheme="minorHAnsi"/>
          <w:bCs/>
          <w:i/>
          <w:iCs/>
        </w:rPr>
        <w:t>Criminal Code</w:t>
      </w:r>
      <w:r w:rsidRPr="00CA5ED0">
        <w:rPr>
          <w:rFonts w:cstheme="minorHAnsi"/>
          <w:bCs/>
        </w:rPr>
        <w:t xml:space="preserve"> section 698</w:t>
      </w:r>
      <w:r w:rsidR="00577BC4">
        <w:rPr>
          <w:rFonts w:cstheme="minorHAnsi"/>
          <w:bCs/>
        </w:rPr>
        <w:t xml:space="preserve"> &amp; 700</w:t>
      </w:r>
      <w:r w:rsidR="00DC5732">
        <w:rPr>
          <w:rFonts w:cstheme="minorHAnsi"/>
          <w:bCs/>
        </w:rPr>
        <w:t xml:space="preserve"> &amp; 655</w:t>
      </w:r>
    </w:p>
    <w:p w14:paraId="7DB3CA6C" w14:textId="4D88B52C" w:rsidR="00E75BB7" w:rsidRDefault="00E75BB7">
      <w:r w:rsidRPr="00E75BB7">
        <w:t>John v. R., 1970 CanLII 199 (SCC)</w:t>
      </w:r>
      <w:r w:rsidR="009218C3">
        <w:t xml:space="preserve"> – headnote </w:t>
      </w:r>
    </w:p>
    <w:p w14:paraId="703FB988" w14:textId="5311326F" w:rsidR="00C170CB" w:rsidRDefault="00C170CB">
      <w:r w:rsidRPr="00C170CB">
        <w:t>R. v. Villaroman, 2016 SCC 33 (CanLII)</w:t>
      </w:r>
      <w:r>
        <w:t xml:space="preserve"> – para 30 </w:t>
      </w:r>
    </w:p>
    <w:p w14:paraId="109B2E55" w14:textId="0BF35F03" w:rsidR="00F95401" w:rsidRDefault="00F95401">
      <w:r w:rsidRPr="00F95401">
        <w:t>R v Vader, 2016 ABQB 505 (CanLII)</w:t>
      </w:r>
      <w:r w:rsidR="009475C4">
        <w:t xml:space="preserve"> – paras 1 to 22 &amp; </w:t>
      </w:r>
      <w:r w:rsidR="0012251A">
        <w:t xml:space="preserve">58 to 66 </w:t>
      </w:r>
      <w:r w:rsidR="003342C9">
        <w:t xml:space="preserve">&amp; paras 643 to 649 </w:t>
      </w:r>
    </w:p>
    <w:p w14:paraId="1290AB84" w14:textId="6BE6C4B3" w:rsidR="0011100C" w:rsidRDefault="00970588">
      <w:r w:rsidRPr="00970588">
        <w:t>R. v. Handy, 2002 SCC 56 (CanLII)</w:t>
      </w:r>
      <w:r>
        <w:t xml:space="preserve"> </w:t>
      </w:r>
    </w:p>
    <w:p w14:paraId="0F14F6F9" w14:textId="1C337510" w:rsidR="00DC2BE7" w:rsidRDefault="00DC2BE7">
      <w:r>
        <w:t xml:space="preserve">Law Society of BC Code of Professional Conduct </w:t>
      </w:r>
      <w:r w:rsidR="00A64484">
        <w:t>rules 5.3 &amp; 5.4</w:t>
      </w:r>
    </w:p>
    <w:p w14:paraId="2FF26C32" w14:textId="022D86AC" w:rsidR="00C61DE4" w:rsidRDefault="00C61DE4"/>
    <w:p w14:paraId="2794130F" w14:textId="78A7D731" w:rsidR="00C61DE4" w:rsidRPr="00521B45" w:rsidRDefault="00521B45">
      <w:pPr>
        <w:rPr>
          <w:b/>
          <w:bCs/>
          <w:u w:val="single"/>
        </w:rPr>
      </w:pPr>
      <w:r w:rsidRPr="00521B45">
        <w:rPr>
          <w:b/>
          <w:bCs/>
          <w:u w:val="single"/>
        </w:rPr>
        <w:t xml:space="preserve">Unit 4 </w:t>
      </w:r>
    </w:p>
    <w:p w14:paraId="41EF7DE1" w14:textId="03F0AC34" w:rsidR="0011100C" w:rsidRDefault="00521B45">
      <w:r w:rsidRPr="00521B45">
        <w:t>Regina v. Potts, 1982 CanLII 1751 (ON CA)</w:t>
      </w:r>
      <w:r>
        <w:t xml:space="preserve"> </w:t>
      </w:r>
    </w:p>
    <w:p w14:paraId="43CD42BD" w14:textId="5F4AA196" w:rsidR="00177543" w:rsidRDefault="00177543">
      <w:pPr>
        <w:rPr>
          <w:rFonts w:cstheme="minorHAnsi"/>
          <w:bCs/>
        </w:rPr>
      </w:pPr>
      <w:r w:rsidRPr="007404C2">
        <w:rPr>
          <w:rFonts w:cstheme="minorHAnsi"/>
          <w:bCs/>
          <w:i/>
          <w:iCs/>
        </w:rPr>
        <w:t>Criminal Code</w:t>
      </w:r>
      <w:r w:rsidRPr="00CA5ED0">
        <w:rPr>
          <w:rFonts w:cstheme="minorHAnsi"/>
          <w:bCs/>
        </w:rPr>
        <w:t xml:space="preserve"> section</w:t>
      </w:r>
      <w:r>
        <w:rPr>
          <w:rFonts w:cstheme="minorHAnsi"/>
          <w:bCs/>
        </w:rPr>
        <w:t xml:space="preserve">s </w:t>
      </w:r>
      <w:r w:rsidR="00EF247E">
        <w:rPr>
          <w:rFonts w:cstheme="minorHAnsi"/>
          <w:bCs/>
        </w:rPr>
        <w:t xml:space="preserve">714.1, 714.2, 714.3, 714.4, 714.5, 714.6, </w:t>
      </w:r>
      <w:r w:rsidR="00AB3281">
        <w:rPr>
          <w:rFonts w:cstheme="minorHAnsi"/>
          <w:bCs/>
        </w:rPr>
        <w:t>715, 715.1, 715.2, 486</w:t>
      </w:r>
      <w:r w:rsidR="000E03A7">
        <w:rPr>
          <w:rFonts w:cstheme="minorHAnsi"/>
          <w:bCs/>
        </w:rPr>
        <w:t>.2</w:t>
      </w:r>
    </w:p>
    <w:p w14:paraId="4D25F200" w14:textId="48CB8EBC" w:rsidR="00287FF4" w:rsidRDefault="00287FF4">
      <w:r w:rsidRPr="00287FF4">
        <w:t>R. v. Evans, 1993 CanLII 86 (SCC)</w:t>
      </w:r>
      <w:r>
        <w:t xml:space="preserve"> – headnote </w:t>
      </w:r>
    </w:p>
    <w:p w14:paraId="442F9132" w14:textId="16E0032A" w:rsidR="003C5A36" w:rsidRDefault="003C5A36">
      <w:r>
        <w:t>R. v. Khan, 1990</w:t>
      </w:r>
      <w:r w:rsidR="003D6229">
        <w:t xml:space="preserve"> CanLII 77 (SCC) – headnote </w:t>
      </w:r>
    </w:p>
    <w:p w14:paraId="2AE61E94" w14:textId="65D9FD1A" w:rsidR="003D6229" w:rsidRDefault="003D6229">
      <w:r>
        <w:t xml:space="preserve">R. v. </w:t>
      </w:r>
      <w:proofErr w:type="spellStart"/>
      <w:r>
        <w:t>Khelawon</w:t>
      </w:r>
      <w:proofErr w:type="spellEnd"/>
      <w:r w:rsidR="006946F3">
        <w:t xml:space="preserve">, 2006 SCC 57 – headnote </w:t>
      </w:r>
    </w:p>
    <w:p w14:paraId="76CFAD4D" w14:textId="3BE79BED" w:rsidR="00D67256" w:rsidRDefault="00D67256">
      <w:r w:rsidRPr="00D67256">
        <w:t>R. v. Bradshaw, 2017 SCC 35 (CanLII)</w:t>
      </w:r>
      <w:r w:rsidR="0016673F">
        <w:t xml:space="preserve"> – headnote </w:t>
      </w:r>
    </w:p>
    <w:p w14:paraId="3F55B7BA" w14:textId="47145276" w:rsidR="00D70D41" w:rsidRDefault="005D7AC5" w:rsidP="005D7AC5">
      <w:r>
        <w:t>FPT HEADS OF PROSECUTIONS COMMITTEE</w:t>
      </w:r>
      <w:r w:rsidR="00AF1993">
        <w:t xml:space="preserve"> </w:t>
      </w:r>
      <w:r>
        <w:t>REPORT OF THE WORKING GROUP ON THE PREVENTION OF MISCARRIAGES OF JUSTICE</w:t>
      </w:r>
      <w:r w:rsidR="00D70D41">
        <w:t xml:space="preserve"> </w:t>
      </w:r>
      <w:proofErr w:type="gramStart"/>
      <w:r w:rsidR="006C0286">
        <w:t xml:space="preserve">– </w:t>
      </w:r>
      <w:r w:rsidR="00AF1993">
        <w:t xml:space="preserve"> section</w:t>
      </w:r>
      <w:proofErr w:type="gramEnd"/>
      <w:r w:rsidR="00AF1993">
        <w:t xml:space="preserve"> </w:t>
      </w:r>
      <w:r w:rsidR="006C0286" w:rsidRPr="006C0286">
        <w:t>5. EYEWITNESS IDENTIFICATION AND TESTIMONY</w:t>
      </w:r>
      <w:r w:rsidR="00322265">
        <w:t xml:space="preserve"> – all </w:t>
      </w:r>
    </w:p>
    <w:p w14:paraId="4C1001ED" w14:textId="1EF6A6E6" w:rsidR="00D70D41" w:rsidRDefault="00D70D41">
      <w:hyperlink r:id="rId7" w:anchor="s51" w:history="1">
        <w:r w:rsidRPr="00E54ED3">
          <w:rPr>
            <w:rStyle w:val="Hyperlink"/>
          </w:rPr>
          <w:t>https://www.justice.gc.ca/eng/rp-pr/cj-jp/ccr-rc/pmj-pej/p5.html#s51</w:t>
        </w:r>
      </w:hyperlink>
    </w:p>
    <w:p w14:paraId="75511A4E" w14:textId="53FE4B78" w:rsidR="00D70D41" w:rsidRDefault="003D5E35">
      <w:r>
        <w:t>R</w:t>
      </w:r>
      <w:r w:rsidRPr="003D5E35">
        <w:t>. v. Nikolovski, 1996 CanLII 158 (SCC)</w:t>
      </w:r>
      <w:r w:rsidR="003F5F45">
        <w:t xml:space="preserve"> – headnote and paras 19 to 23 </w:t>
      </w:r>
    </w:p>
    <w:p w14:paraId="5DA20A64" w14:textId="0ECF06ED" w:rsidR="00282CE5" w:rsidRDefault="00D97D0D">
      <w:r w:rsidRPr="00D97D0D">
        <w:t>R. v. Field, 2018 BCCA 253 (CanLII)</w:t>
      </w:r>
    </w:p>
    <w:p w14:paraId="3749754F" w14:textId="18262EEB" w:rsidR="000E2978" w:rsidRDefault="000E2978"/>
    <w:p w14:paraId="0BE2B156" w14:textId="169EB6A2" w:rsidR="000E2978" w:rsidRDefault="000E2978">
      <w:pPr>
        <w:rPr>
          <w:b/>
          <w:bCs/>
          <w:u w:val="single"/>
        </w:rPr>
      </w:pPr>
      <w:r w:rsidRPr="000E2978">
        <w:rPr>
          <w:b/>
          <w:bCs/>
          <w:u w:val="single"/>
        </w:rPr>
        <w:t xml:space="preserve">Unit 5 </w:t>
      </w:r>
    </w:p>
    <w:p w14:paraId="61D1309A" w14:textId="52BCA9AA" w:rsidR="00C3294B" w:rsidRDefault="005076E8">
      <w:r>
        <w:t xml:space="preserve">Case excerpts and text excerpts in summary </w:t>
      </w:r>
    </w:p>
    <w:p w14:paraId="360764F0" w14:textId="108D1E02" w:rsidR="00E1471D" w:rsidRDefault="00E1471D">
      <w:r>
        <w:t>R. v. Podolski</w:t>
      </w:r>
      <w:r w:rsidR="003F2D2C">
        <w:t>, 2018 BCCA 96 – paras 145 &amp; 146</w:t>
      </w:r>
    </w:p>
    <w:p w14:paraId="2AC5CFAD" w14:textId="30E276AC" w:rsidR="005076E8" w:rsidRDefault="002C4A28">
      <w:r w:rsidRPr="002C4A28">
        <w:t xml:space="preserve">R. v. </w:t>
      </w:r>
      <w:proofErr w:type="spellStart"/>
      <w:r w:rsidRPr="002C4A28">
        <w:t>Oickle</w:t>
      </w:r>
      <w:proofErr w:type="spellEnd"/>
      <w:r w:rsidRPr="002C4A28">
        <w:t>, 2000 SCC 38 (CanLII)</w:t>
      </w:r>
      <w:r>
        <w:t xml:space="preserve"> – headnote </w:t>
      </w:r>
      <w:r w:rsidR="00327651">
        <w:t xml:space="preserve">&amp; paras 32 to 71 </w:t>
      </w:r>
    </w:p>
    <w:p w14:paraId="7AEF63B8" w14:textId="3BF9FD1A" w:rsidR="00861C17" w:rsidRPr="005076E8" w:rsidRDefault="00861C17">
      <w:r w:rsidRPr="00861C17">
        <w:t>R. v. Hebert, 1990 CanLII 118 (SCC)</w:t>
      </w:r>
      <w:r>
        <w:t xml:space="preserve"> – headnote </w:t>
      </w:r>
    </w:p>
    <w:p w14:paraId="5DC0AF66" w14:textId="3A17B6E4" w:rsidR="00C3294B" w:rsidRPr="00DA54AC" w:rsidRDefault="00B576EB">
      <w:r w:rsidRPr="00DA54AC">
        <w:t>R. v. Singh, 2007 SCC 48 (CanLII)</w:t>
      </w:r>
      <w:r w:rsidR="00DA54AC" w:rsidRPr="00DA54AC">
        <w:t xml:space="preserve"> – headnote </w:t>
      </w:r>
    </w:p>
    <w:p w14:paraId="05BB5E11" w14:textId="2123BFF4" w:rsidR="0089010A" w:rsidRDefault="00E33C40">
      <w:r w:rsidRPr="00E33C40">
        <w:t>R. v. Sinclair, 2010 SCC 35 (CanLII)</w:t>
      </w:r>
      <w:r>
        <w:t xml:space="preserve"> – headnote </w:t>
      </w:r>
    </w:p>
    <w:p w14:paraId="7387A816" w14:textId="0B37EE2E" w:rsidR="002D2051" w:rsidRDefault="008C2D1E">
      <w:r w:rsidRPr="008C2D1E">
        <w:t>R v. Hart, 2014 SCC 52</w:t>
      </w:r>
      <w:r>
        <w:t xml:space="preserve"> – headnote </w:t>
      </w:r>
    </w:p>
    <w:p w14:paraId="5B5AA755" w14:textId="37F0942E" w:rsidR="00260DBC" w:rsidRDefault="00260DBC">
      <w:r>
        <w:lastRenderedPageBreak/>
        <w:t xml:space="preserve">R. v. S.G.T., 2010 SCC 20 (CanLII) – headnote </w:t>
      </w:r>
    </w:p>
    <w:p w14:paraId="2371688D" w14:textId="26059347" w:rsidR="00FF7D29" w:rsidRDefault="00FF7D29">
      <w:r w:rsidRPr="00FF7D29">
        <w:t>Apology Act, SBC 2006, c 19</w:t>
      </w:r>
    </w:p>
    <w:p w14:paraId="3EEFD3D9" w14:textId="119F097F" w:rsidR="00B604AB" w:rsidRDefault="00B604AB"/>
    <w:p w14:paraId="1D3C0290" w14:textId="279C461C" w:rsidR="00B604AB" w:rsidRDefault="00B604AB">
      <w:pPr>
        <w:rPr>
          <w:b/>
          <w:bCs/>
          <w:u w:val="single"/>
        </w:rPr>
      </w:pPr>
      <w:r w:rsidRPr="00B604AB">
        <w:rPr>
          <w:b/>
          <w:bCs/>
          <w:u w:val="single"/>
        </w:rPr>
        <w:t xml:space="preserve">Unit 6 </w:t>
      </w:r>
    </w:p>
    <w:p w14:paraId="2FBD61FC" w14:textId="5AAA3686" w:rsidR="00F35565" w:rsidRDefault="00A1713A">
      <w:r w:rsidRPr="00F35565">
        <w:t>The Constitution Act, 1982</w:t>
      </w:r>
      <w:r>
        <w:t xml:space="preserve"> - </w:t>
      </w:r>
      <w:r w:rsidR="005C08E1" w:rsidRPr="00842EFA">
        <w:t xml:space="preserve">Canadian Charter of Rights and Freedoms </w:t>
      </w:r>
      <w:r w:rsidR="00842EFA" w:rsidRPr="00842EFA">
        <w:t>sections</w:t>
      </w:r>
      <w:r w:rsidR="00842EFA">
        <w:t>: preamble</w:t>
      </w:r>
      <w:r w:rsidR="0055395B">
        <w:t xml:space="preserve"> (found just before section 1)</w:t>
      </w:r>
      <w:r w:rsidR="00842EFA">
        <w:t>,</w:t>
      </w:r>
      <w:r w:rsidR="0055395B">
        <w:t xml:space="preserve">1, </w:t>
      </w:r>
      <w:r w:rsidR="00045BCB">
        <w:t>2, 7</w:t>
      </w:r>
      <w:r w:rsidR="00750A4C">
        <w:t xml:space="preserve"> to 14 &amp; 24</w:t>
      </w:r>
      <w:r w:rsidR="00190B86">
        <w:t>, 32</w:t>
      </w:r>
      <w:r>
        <w:t>, 33, 52</w:t>
      </w:r>
    </w:p>
    <w:p w14:paraId="313A7511" w14:textId="66F78786" w:rsidR="00B604AB" w:rsidRDefault="00A41159">
      <w:r w:rsidRPr="00A41159">
        <w:t>R. v. Vukelich, 1996 CanLII 1005 (BC CA)</w:t>
      </w:r>
      <w:r>
        <w:t xml:space="preserve"> – paras </w:t>
      </w:r>
      <w:r w:rsidR="004F393E">
        <w:t xml:space="preserve">25 to 27 </w:t>
      </w:r>
    </w:p>
    <w:p w14:paraId="4116FA7E" w14:textId="6333C53C" w:rsidR="005208B7" w:rsidRDefault="005208B7">
      <w:r w:rsidRPr="005208B7">
        <w:t>R. v. Nur, 2015 SCC 15 (CanLII)</w:t>
      </w:r>
      <w:r>
        <w:t xml:space="preserve"> – headnote &amp; paras </w:t>
      </w:r>
      <w:r w:rsidR="005B552D">
        <w:t xml:space="preserve">47 – 52 &amp; </w:t>
      </w:r>
      <w:r w:rsidR="007820F6">
        <w:t>111</w:t>
      </w:r>
    </w:p>
    <w:p w14:paraId="4856F867" w14:textId="77777777" w:rsidR="004215BC" w:rsidRDefault="004215BC" w:rsidP="004215BC">
      <w:r w:rsidRPr="0006180E">
        <w:rPr>
          <w:i/>
          <w:iCs/>
        </w:rPr>
        <w:t>R. v. Stillman</w:t>
      </w:r>
      <w:r w:rsidRPr="0006180E">
        <w:t>, [1997] 1 S.C.R. 607</w:t>
      </w:r>
      <w:r>
        <w:t xml:space="preserve"> – headnote </w:t>
      </w:r>
    </w:p>
    <w:p w14:paraId="4B845F9C" w14:textId="79D6EEAE" w:rsidR="004215BC" w:rsidRDefault="004215BC" w:rsidP="004215BC">
      <w:r w:rsidRPr="00BD7BA6">
        <w:rPr>
          <w:i/>
          <w:iCs/>
        </w:rPr>
        <w:t>R. v. Hebert</w:t>
      </w:r>
      <w:r w:rsidRPr="00BD7BA6">
        <w:t>, [1990] 2 S.C.R. 151</w:t>
      </w:r>
      <w:r>
        <w:t xml:space="preserve"> – headnote </w:t>
      </w:r>
      <w:r w:rsidR="00A0350E">
        <w:t xml:space="preserve">(also in list </w:t>
      </w:r>
      <w:r w:rsidR="00FF30C2">
        <w:t xml:space="preserve">for </w:t>
      </w:r>
      <w:r w:rsidR="00A0350E">
        <w:t>unit</w:t>
      </w:r>
      <w:r w:rsidR="00FF30C2">
        <w:t xml:space="preserve"> 5</w:t>
      </w:r>
      <w:r w:rsidR="00A0350E">
        <w:t>)</w:t>
      </w:r>
    </w:p>
    <w:p w14:paraId="54227107" w14:textId="055B44B0" w:rsidR="004215BC" w:rsidRDefault="009571F5">
      <w:r w:rsidRPr="009571F5">
        <w:t xml:space="preserve">Criminal Code s.487 </w:t>
      </w:r>
      <w:r w:rsidR="00CF0528">
        <w:t>&amp; 487.01</w:t>
      </w:r>
    </w:p>
    <w:p w14:paraId="18A94BEA" w14:textId="4067E252" w:rsidR="00865CFC" w:rsidRDefault="00865CFC" w:rsidP="00865CFC">
      <w:r w:rsidRPr="00557384">
        <w:t>Hunter et al. v. Southam Inc., [1984] 2 S.C.R. 145</w:t>
      </w:r>
      <w:r w:rsidR="007F5D99">
        <w:t xml:space="preserve"> – headnote &amp; </w:t>
      </w:r>
      <w:r w:rsidR="004055EB">
        <w:t xml:space="preserve">section </w:t>
      </w:r>
      <w:r w:rsidR="004055EB" w:rsidRPr="00720A85">
        <w:t>III </w:t>
      </w:r>
      <w:r w:rsidR="004055EB" w:rsidRPr="004055EB">
        <w:t>“Unreasonable” Search or Seizure</w:t>
      </w:r>
      <w:r w:rsidR="004055EB">
        <w:t xml:space="preserve"> – from the body of the case text</w:t>
      </w:r>
    </w:p>
    <w:p w14:paraId="4F5C4528" w14:textId="5C20A1EC" w:rsidR="00FB0737" w:rsidRDefault="00FB0737" w:rsidP="00FB0737">
      <w:r>
        <w:t xml:space="preserve">R. v. Law 2002 SCC 10 </w:t>
      </w:r>
      <w:r w:rsidR="004E6517">
        <w:t xml:space="preserve">- </w:t>
      </w:r>
      <w:r>
        <w:t xml:space="preserve">headnote </w:t>
      </w:r>
    </w:p>
    <w:p w14:paraId="21D5F669" w14:textId="2260B2C1" w:rsidR="00FB0737" w:rsidRDefault="00FB0737" w:rsidP="00FB0737">
      <w:r>
        <w:t xml:space="preserve">R. v. Edwards (1996) 104 C.C.C. (3d) 136 (S.C.C.) </w:t>
      </w:r>
      <w:r w:rsidR="004E6517">
        <w:t xml:space="preserve">- </w:t>
      </w:r>
      <w:r>
        <w:t>headnote</w:t>
      </w:r>
    </w:p>
    <w:p w14:paraId="6C624006" w14:textId="332F6638" w:rsidR="00FB0737" w:rsidRDefault="00FB0737" w:rsidP="00FB0737">
      <w:r>
        <w:t xml:space="preserve">R. v. Golden [2001] 3 S.C.R. 679 (S.C.C.) </w:t>
      </w:r>
      <w:r w:rsidR="004E6517">
        <w:t xml:space="preserve">- </w:t>
      </w:r>
      <w:r>
        <w:t xml:space="preserve">headnote </w:t>
      </w:r>
    </w:p>
    <w:p w14:paraId="03220305" w14:textId="77777777" w:rsidR="004E6517" w:rsidRDefault="004E6517" w:rsidP="004E6517">
      <w:r w:rsidRPr="00473FCD">
        <w:rPr>
          <w:i/>
          <w:iCs/>
        </w:rPr>
        <w:t>R. v. Grant</w:t>
      </w:r>
      <w:r w:rsidRPr="00D8287F">
        <w:t>, 2009 SCC 32</w:t>
      </w:r>
      <w:r>
        <w:t xml:space="preserve"> – headnote </w:t>
      </w:r>
    </w:p>
    <w:p w14:paraId="194A9240" w14:textId="5BCEAF56" w:rsidR="00832E76" w:rsidRDefault="00832E76" w:rsidP="00832E76">
      <w:r>
        <w:t xml:space="preserve">R v. Sinclair 2010 SCC 35 - headnote </w:t>
      </w:r>
    </w:p>
    <w:p w14:paraId="5CD96A27" w14:textId="531FF591" w:rsidR="00832E76" w:rsidRDefault="00832E76" w:rsidP="00832E76">
      <w:r>
        <w:t xml:space="preserve">R v. McCrimmon 2010 SCC 36 - headnote </w:t>
      </w:r>
    </w:p>
    <w:p w14:paraId="1966D295" w14:textId="7041D98A" w:rsidR="00865CFC" w:rsidRDefault="00832E76" w:rsidP="00832E76">
      <w:r>
        <w:t xml:space="preserve">R v. Willier 2010 SCC 37 </w:t>
      </w:r>
      <w:r w:rsidR="004C1B3F">
        <w:t>–</w:t>
      </w:r>
      <w:r>
        <w:t xml:space="preserve"> headnote</w:t>
      </w:r>
    </w:p>
    <w:p w14:paraId="2000184A" w14:textId="1EEF46DC" w:rsidR="003D2D84" w:rsidRDefault="008C18DE" w:rsidP="00832E76">
      <w:r w:rsidRPr="008C18DE">
        <w:t>R. v. Henry 2005 SCC 76</w:t>
      </w:r>
      <w:r>
        <w:t xml:space="preserve"> – headnote </w:t>
      </w:r>
    </w:p>
    <w:p w14:paraId="5C7E1F77" w14:textId="6D8A0540" w:rsidR="00F26C78" w:rsidRDefault="00F26C78" w:rsidP="00832E76"/>
    <w:p w14:paraId="62F84D1A" w14:textId="1A4461BD" w:rsidR="00F26C78" w:rsidRDefault="00F26C78" w:rsidP="00832E76">
      <w:pPr>
        <w:rPr>
          <w:b/>
          <w:bCs/>
          <w:u w:val="single"/>
        </w:rPr>
      </w:pPr>
      <w:r w:rsidRPr="00F26C78">
        <w:rPr>
          <w:b/>
          <w:bCs/>
          <w:u w:val="single"/>
        </w:rPr>
        <w:t xml:space="preserve">Unit 7 </w:t>
      </w:r>
    </w:p>
    <w:p w14:paraId="4C664575" w14:textId="08529437" w:rsidR="0084541D" w:rsidRDefault="00B6302D" w:rsidP="00832E76">
      <w:r>
        <w:t>Canada Evidence Act sections</w:t>
      </w:r>
      <w:r w:rsidR="001B56B7">
        <w:t xml:space="preserve"> 29, 30,</w:t>
      </w:r>
      <w:r>
        <w:t xml:space="preserve"> 31.1 – 31.8 </w:t>
      </w:r>
    </w:p>
    <w:p w14:paraId="630CA4AC" w14:textId="461CF5D3" w:rsidR="008527CB" w:rsidRDefault="00ED229B" w:rsidP="00832E76">
      <w:r w:rsidRPr="00ED229B">
        <w:t>R. v. Corbett, 1988 CanLII 80 (SCC)</w:t>
      </w:r>
      <w:r>
        <w:t xml:space="preserve"> – headnote </w:t>
      </w:r>
    </w:p>
    <w:p w14:paraId="600F88C6" w14:textId="529D51CF" w:rsidR="009009E7" w:rsidRDefault="009009E7" w:rsidP="00832E76">
      <w:r w:rsidRPr="009009E7">
        <w:t>R. v. Cleghorn, 1995 CanLII 63 (SCC)</w:t>
      </w:r>
      <w:r>
        <w:t xml:space="preserve"> – headnote </w:t>
      </w:r>
    </w:p>
    <w:p w14:paraId="78585421" w14:textId="6FA05F56" w:rsidR="00E40E9B" w:rsidRDefault="00E40E9B" w:rsidP="00832E76"/>
    <w:p w14:paraId="5B72D5AE" w14:textId="77777777" w:rsidR="00A0280D" w:rsidRPr="00AF6243" w:rsidRDefault="00A0280D" w:rsidP="00832E76"/>
    <w:sectPr w:rsidR="00A0280D" w:rsidRPr="00AF62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213FB0"/>
    <w:multiLevelType w:val="hybridMultilevel"/>
    <w:tmpl w:val="54F0F8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443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C1E"/>
    <w:rsid w:val="00045BCB"/>
    <w:rsid w:val="00066F63"/>
    <w:rsid w:val="000B12F3"/>
    <w:rsid w:val="000E03A7"/>
    <w:rsid w:val="000E2978"/>
    <w:rsid w:val="0011100C"/>
    <w:rsid w:val="0012251A"/>
    <w:rsid w:val="001604A8"/>
    <w:rsid w:val="0016673F"/>
    <w:rsid w:val="00177543"/>
    <w:rsid w:val="00190B86"/>
    <w:rsid w:val="00194B31"/>
    <w:rsid w:val="00196018"/>
    <w:rsid w:val="001A39D8"/>
    <w:rsid w:val="001B56B7"/>
    <w:rsid w:val="001C7CEF"/>
    <w:rsid w:val="00214476"/>
    <w:rsid w:val="00260DBC"/>
    <w:rsid w:val="00282CE5"/>
    <w:rsid w:val="00287FF4"/>
    <w:rsid w:val="002C4A28"/>
    <w:rsid w:val="002D2051"/>
    <w:rsid w:val="002D6856"/>
    <w:rsid w:val="002F07AF"/>
    <w:rsid w:val="00322265"/>
    <w:rsid w:val="00327651"/>
    <w:rsid w:val="003342C9"/>
    <w:rsid w:val="00373AD1"/>
    <w:rsid w:val="00375AC9"/>
    <w:rsid w:val="00395149"/>
    <w:rsid w:val="00397D95"/>
    <w:rsid w:val="003A26DD"/>
    <w:rsid w:val="003C5A36"/>
    <w:rsid w:val="003D2D84"/>
    <w:rsid w:val="003D5E35"/>
    <w:rsid w:val="003D6229"/>
    <w:rsid w:val="003F2D2C"/>
    <w:rsid w:val="003F5F45"/>
    <w:rsid w:val="004055EB"/>
    <w:rsid w:val="00412423"/>
    <w:rsid w:val="004215BC"/>
    <w:rsid w:val="004647FB"/>
    <w:rsid w:val="004730C7"/>
    <w:rsid w:val="004C1B3F"/>
    <w:rsid w:val="004E6517"/>
    <w:rsid w:val="004F393E"/>
    <w:rsid w:val="004F78D8"/>
    <w:rsid w:val="005076E8"/>
    <w:rsid w:val="005208B7"/>
    <w:rsid w:val="00521B45"/>
    <w:rsid w:val="0055395B"/>
    <w:rsid w:val="00557384"/>
    <w:rsid w:val="00577BC4"/>
    <w:rsid w:val="00591F1B"/>
    <w:rsid w:val="005B552D"/>
    <w:rsid w:val="005C08E1"/>
    <w:rsid w:val="005D41C4"/>
    <w:rsid w:val="005D7AC5"/>
    <w:rsid w:val="006027CE"/>
    <w:rsid w:val="00672B77"/>
    <w:rsid w:val="00686E0A"/>
    <w:rsid w:val="006946F3"/>
    <w:rsid w:val="006B3520"/>
    <w:rsid w:val="006B5FB3"/>
    <w:rsid w:val="006C0286"/>
    <w:rsid w:val="007177D6"/>
    <w:rsid w:val="00724F9C"/>
    <w:rsid w:val="007404C2"/>
    <w:rsid w:val="00750A4C"/>
    <w:rsid w:val="007578B7"/>
    <w:rsid w:val="007820F6"/>
    <w:rsid w:val="00793691"/>
    <w:rsid w:val="007D5CAA"/>
    <w:rsid w:val="007F5D99"/>
    <w:rsid w:val="007F67C1"/>
    <w:rsid w:val="00813BEA"/>
    <w:rsid w:val="00832E76"/>
    <w:rsid w:val="00842EFA"/>
    <w:rsid w:val="0084541D"/>
    <w:rsid w:val="008527CB"/>
    <w:rsid w:val="008559D9"/>
    <w:rsid w:val="00861C17"/>
    <w:rsid w:val="00865CFC"/>
    <w:rsid w:val="0089010A"/>
    <w:rsid w:val="00890BFF"/>
    <w:rsid w:val="00896185"/>
    <w:rsid w:val="008C18DE"/>
    <w:rsid w:val="008C2D1E"/>
    <w:rsid w:val="008C4BD8"/>
    <w:rsid w:val="008E7CBE"/>
    <w:rsid w:val="008F3BE1"/>
    <w:rsid w:val="009009E7"/>
    <w:rsid w:val="009218C3"/>
    <w:rsid w:val="0094514F"/>
    <w:rsid w:val="009475C4"/>
    <w:rsid w:val="009571F5"/>
    <w:rsid w:val="0096160C"/>
    <w:rsid w:val="00970588"/>
    <w:rsid w:val="00980EAE"/>
    <w:rsid w:val="009B0855"/>
    <w:rsid w:val="009D3A53"/>
    <w:rsid w:val="009D5CB3"/>
    <w:rsid w:val="00A0280D"/>
    <w:rsid w:val="00A0350E"/>
    <w:rsid w:val="00A1713A"/>
    <w:rsid w:val="00A41159"/>
    <w:rsid w:val="00A64484"/>
    <w:rsid w:val="00A66D81"/>
    <w:rsid w:val="00A723F5"/>
    <w:rsid w:val="00A967FF"/>
    <w:rsid w:val="00AB3281"/>
    <w:rsid w:val="00AF1993"/>
    <w:rsid w:val="00AF6243"/>
    <w:rsid w:val="00B36B21"/>
    <w:rsid w:val="00B576EB"/>
    <w:rsid w:val="00B604AB"/>
    <w:rsid w:val="00B6302D"/>
    <w:rsid w:val="00B71C1E"/>
    <w:rsid w:val="00B872AF"/>
    <w:rsid w:val="00BB0932"/>
    <w:rsid w:val="00C01556"/>
    <w:rsid w:val="00C170CB"/>
    <w:rsid w:val="00C21083"/>
    <w:rsid w:val="00C21A47"/>
    <w:rsid w:val="00C3294B"/>
    <w:rsid w:val="00C54614"/>
    <w:rsid w:val="00C61DE4"/>
    <w:rsid w:val="00CD7FA3"/>
    <w:rsid w:val="00CF0528"/>
    <w:rsid w:val="00CF5E2A"/>
    <w:rsid w:val="00D423B1"/>
    <w:rsid w:val="00D43915"/>
    <w:rsid w:val="00D51C5A"/>
    <w:rsid w:val="00D67256"/>
    <w:rsid w:val="00D70D41"/>
    <w:rsid w:val="00D83D84"/>
    <w:rsid w:val="00D97220"/>
    <w:rsid w:val="00D97D0D"/>
    <w:rsid w:val="00DA54AC"/>
    <w:rsid w:val="00DC2BE7"/>
    <w:rsid w:val="00DC5732"/>
    <w:rsid w:val="00DE76B8"/>
    <w:rsid w:val="00E1471D"/>
    <w:rsid w:val="00E33C40"/>
    <w:rsid w:val="00E3517B"/>
    <w:rsid w:val="00E403C7"/>
    <w:rsid w:val="00E40E9B"/>
    <w:rsid w:val="00E415C7"/>
    <w:rsid w:val="00E75BB7"/>
    <w:rsid w:val="00ED229B"/>
    <w:rsid w:val="00EE4AB0"/>
    <w:rsid w:val="00EF247E"/>
    <w:rsid w:val="00F05A26"/>
    <w:rsid w:val="00F26C78"/>
    <w:rsid w:val="00F35565"/>
    <w:rsid w:val="00F95401"/>
    <w:rsid w:val="00FA4C72"/>
    <w:rsid w:val="00FB0737"/>
    <w:rsid w:val="00FC06BF"/>
    <w:rsid w:val="00FF30C2"/>
    <w:rsid w:val="00FF7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D805A"/>
  <w15:chartTrackingRefBased/>
  <w15:docId w15:val="{F64ADB2A-5DA2-4DC3-A595-66C78B285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604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04A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439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5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1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5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5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9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7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61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68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9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7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justice.gc.ca/eng/rp-pr/cj-jp/ccr-rc/pmj-pej/p5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pd.ca/wp-content/uploads/2021/06/vpd-manual-regulations-procedures.pdf" TargetMode="External"/><Relationship Id="rId5" Type="http://schemas.openxmlformats.org/officeDocument/2006/relationships/hyperlink" Target="https://www.lawsociety.bc.ca/Website/media/Shared/docs/publications/reports/turriff-speech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605</Words>
  <Characters>3451</Characters>
  <Application>Microsoft Office Word</Application>
  <DocSecurity>0</DocSecurity>
  <Lines>28</Lines>
  <Paragraphs>8</Paragraphs>
  <ScaleCrop>false</ScaleCrop>
  <Company/>
  <LinksUpToDate>false</LinksUpToDate>
  <CharactersWithSpaces>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Johnson</dc:creator>
  <cp:keywords/>
  <dc:description/>
  <cp:lastModifiedBy>Ryan Johnson</cp:lastModifiedBy>
  <cp:revision>7</cp:revision>
  <cp:lastPrinted>2022-12-22T20:04:00Z</cp:lastPrinted>
  <dcterms:created xsi:type="dcterms:W3CDTF">2025-01-06T20:50:00Z</dcterms:created>
  <dcterms:modified xsi:type="dcterms:W3CDTF">2025-03-12T20:27:00Z</dcterms:modified>
</cp:coreProperties>
</file>