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0E869" w14:textId="26095730" w:rsidR="0030143E" w:rsidRPr="00A46CA2" w:rsidRDefault="008F78DC" w:rsidP="0030143E">
      <w:pPr>
        <w:rPr>
          <w:rFonts w:asciiTheme="minorHAnsi" w:hAnsiTheme="minorHAnsi" w:cstheme="minorHAnsi"/>
          <w:i/>
          <w:sz w:val="22"/>
          <w:szCs w:val="22"/>
        </w:rPr>
      </w:pPr>
      <w:r>
        <w:rPr>
          <w:rFonts w:asciiTheme="minorHAnsi" w:hAnsiTheme="minorHAnsi" w:cstheme="minorHAnsi"/>
          <w:i/>
          <w:sz w:val="22"/>
          <w:szCs w:val="22"/>
        </w:rPr>
        <w:t xml:space="preserve">Some </w:t>
      </w:r>
      <w:proofErr w:type="gramStart"/>
      <w:r>
        <w:rPr>
          <w:rFonts w:asciiTheme="minorHAnsi" w:hAnsiTheme="minorHAnsi" w:cstheme="minorHAnsi"/>
          <w:i/>
          <w:sz w:val="22"/>
          <w:szCs w:val="22"/>
        </w:rPr>
        <w:t>carryover</w:t>
      </w:r>
      <w:proofErr w:type="gramEnd"/>
      <w:r>
        <w:rPr>
          <w:rFonts w:asciiTheme="minorHAnsi" w:hAnsiTheme="minorHAnsi" w:cstheme="minorHAnsi"/>
          <w:i/>
          <w:sz w:val="22"/>
          <w:szCs w:val="22"/>
        </w:rPr>
        <w:t xml:space="preserve"> f</w:t>
      </w:r>
      <w:r w:rsidR="0030143E" w:rsidRPr="00A46CA2">
        <w:rPr>
          <w:rFonts w:asciiTheme="minorHAnsi" w:hAnsiTheme="minorHAnsi" w:cstheme="minorHAnsi"/>
          <w:i/>
          <w:sz w:val="22"/>
          <w:szCs w:val="22"/>
        </w:rPr>
        <w:t>rom last week…</w:t>
      </w:r>
    </w:p>
    <w:p w14:paraId="3ED7F824" w14:textId="77777777" w:rsidR="0030143E" w:rsidRPr="00A46CA2" w:rsidRDefault="0030143E" w:rsidP="0030143E">
      <w:pPr>
        <w:rPr>
          <w:rFonts w:asciiTheme="minorHAnsi" w:hAnsiTheme="minorHAnsi" w:cstheme="minorHAnsi"/>
          <w:i/>
          <w:sz w:val="22"/>
          <w:szCs w:val="22"/>
        </w:rPr>
      </w:pPr>
    </w:p>
    <w:p w14:paraId="2B7526B8" w14:textId="0A5EB592" w:rsidR="0030143E" w:rsidRPr="00A46CA2" w:rsidRDefault="0030143E" w:rsidP="0030143E">
      <w:pPr>
        <w:rPr>
          <w:rFonts w:asciiTheme="minorHAnsi" w:hAnsiTheme="minorHAnsi" w:cstheme="minorHAnsi"/>
          <w:i/>
          <w:sz w:val="22"/>
          <w:szCs w:val="22"/>
        </w:rPr>
      </w:pPr>
      <w:r w:rsidRPr="00A46CA2">
        <w:rPr>
          <w:rFonts w:asciiTheme="minorHAnsi" w:hAnsiTheme="minorHAnsi" w:cstheme="minorHAnsi"/>
          <w:i/>
          <w:sz w:val="22"/>
          <w:szCs w:val="22"/>
        </w:rPr>
        <w:t>Stare Decisis (</w:t>
      </w:r>
      <w:r w:rsidRPr="00A46CA2">
        <w:rPr>
          <w:rFonts w:asciiTheme="minorHAnsi" w:hAnsiTheme="minorHAnsi" w:cstheme="minorHAnsi"/>
          <w:b/>
          <w:i/>
          <w:sz w:val="22"/>
          <w:szCs w:val="22"/>
        </w:rPr>
        <w:t>Hansard Spruce Mills, Sipes,</w:t>
      </w:r>
      <w:r w:rsidR="00E420C5">
        <w:rPr>
          <w:rFonts w:asciiTheme="minorHAnsi" w:hAnsiTheme="minorHAnsi" w:cstheme="minorHAnsi"/>
          <w:b/>
          <w:i/>
          <w:sz w:val="22"/>
          <w:szCs w:val="22"/>
        </w:rPr>
        <w:t xml:space="preserve"> et al</w:t>
      </w:r>
      <w:r w:rsidRPr="00A46CA2">
        <w:rPr>
          <w:rFonts w:asciiTheme="minorHAnsi" w:hAnsiTheme="minorHAnsi" w:cstheme="minorHAnsi"/>
          <w:i/>
          <w:sz w:val="22"/>
          <w:szCs w:val="22"/>
        </w:rPr>
        <w:t>)</w:t>
      </w:r>
    </w:p>
    <w:p w14:paraId="1F51BD87" w14:textId="77777777" w:rsidR="0030143E" w:rsidRPr="00A46CA2" w:rsidRDefault="0030143E" w:rsidP="0030143E">
      <w:pPr>
        <w:rPr>
          <w:rFonts w:asciiTheme="minorHAnsi" w:hAnsiTheme="minorHAnsi" w:cstheme="minorHAnsi"/>
          <w:i/>
          <w:sz w:val="22"/>
          <w:szCs w:val="22"/>
        </w:rPr>
      </w:pPr>
    </w:p>
    <w:p w14:paraId="57128A3F" w14:textId="2CD128FC" w:rsidR="0030143E" w:rsidRPr="00A46CA2" w:rsidRDefault="0030143E" w:rsidP="0030143E">
      <w:pPr>
        <w:pStyle w:val="ListParagraph"/>
        <w:numPr>
          <w:ilvl w:val="0"/>
          <w:numId w:val="6"/>
        </w:numPr>
        <w:rPr>
          <w:rFonts w:cstheme="minorHAnsi"/>
          <w:i/>
          <w:iCs/>
        </w:rPr>
      </w:pPr>
      <w:r w:rsidRPr="00A46CA2">
        <w:rPr>
          <w:rFonts w:cstheme="minorHAnsi"/>
          <w:i/>
          <w:iCs/>
        </w:rPr>
        <w:t>Means “already decided”</w:t>
      </w:r>
    </w:p>
    <w:p w14:paraId="3A94A253" w14:textId="77777777" w:rsidR="0030143E" w:rsidRPr="00A46CA2" w:rsidRDefault="0030143E" w:rsidP="0030143E">
      <w:pPr>
        <w:pStyle w:val="ListParagraph"/>
        <w:numPr>
          <w:ilvl w:val="0"/>
          <w:numId w:val="6"/>
        </w:numPr>
        <w:rPr>
          <w:rFonts w:cstheme="minorHAnsi"/>
          <w:i/>
          <w:iCs/>
        </w:rPr>
      </w:pPr>
      <w:r w:rsidRPr="00A46CA2">
        <w:rPr>
          <w:rFonts w:cstheme="minorHAnsi"/>
          <w:i/>
          <w:iCs/>
          <w:color w:val="000000"/>
          <w:shd w:val="clear" w:color="auto" w:fill="FFFFFF"/>
        </w:rPr>
        <w:t>“The approach advocated in </w:t>
      </w:r>
      <w:r w:rsidRPr="00A46CA2">
        <w:rPr>
          <w:rFonts w:cstheme="minorHAnsi"/>
          <w:b/>
          <w:bCs/>
          <w:i/>
          <w:iCs/>
          <w:color w:val="000000"/>
          <w:shd w:val="clear" w:color="auto" w:fill="FFFFFF"/>
        </w:rPr>
        <w:t>Re</w:t>
      </w:r>
      <w:r w:rsidRPr="00A46CA2">
        <w:rPr>
          <w:rFonts w:cstheme="minorHAnsi"/>
          <w:i/>
          <w:iCs/>
          <w:color w:val="000000"/>
          <w:shd w:val="clear" w:color="auto" w:fill="FFFFFF"/>
        </w:rPr>
        <w:t> </w:t>
      </w:r>
      <w:r w:rsidRPr="00A46CA2">
        <w:rPr>
          <w:rFonts w:cstheme="minorHAnsi"/>
          <w:b/>
          <w:bCs/>
          <w:i/>
          <w:iCs/>
          <w:color w:val="000000"/>
          <w:shd w:val="clear" w:color="auto" w:fill="FFFFFF"/>
        </w:rPr>
        <w:t>Hansard Spruce Mills</w:t>
      </w:r>
      <w:r w:rsidRPr="00A46CA2">
        <w:rPr>
          <w:rFonts w:cstheme="minorHAnsi"/>
          <w:i/>
          <w:iCs/>
          <w:color w:val="000000"/>
          <w:shd w:val="clear" w:color="auto" w:fill="FFFFFF"/>
        </w:rPr>
        <w:t> is not a rule of law; rather, it is a wise and prudent prescription for the exercise of judicial discretion.  It will almost always be in the interests of justice for a judge to follow the decision of another judge of the same court on a question of law.  Consistency, certainty, and judicial comity are all sound reasons why this is so.” Sipes 2009 BCSC 295, para 10</w:t>
      </w:r>
    </w:p>
    <w:p w14:paraId="219EFF76" w14:textId="6D2EC1DE" w:rsidR="0030143E" w:rsidRPr="00A46CA2" w:rsidRDefault="0030143E" w:rsidP="0030143E">
      <w:pPr>
        <w:pStyle w:val="ListParagraph"/>
        <w:numPr>
          <w:ilvl w:val="0"/>
          <w:numId w:val="6"/>
        </w:numPr>
        <w:rPr>
          <w:rFonts w:cstheme="minorHAnsi"/>
          <w:i/>
          <w:iCs/>
          <w:color w:val="000000"/>
          <w:shd w:val="clear" w:color="auto" w:fill="FFFFFF"/>
          <w:lang w:val="en-CA"/>
        </w:rPr>
      </w:pPr>
      <w:r w:rsidRPr="00A46CA2">
        <w:rPr>
          <w:rFonts w:cstheme="minorHAnsi"/>
          <w:i/>
          <w:iCs/>
          <w:color w:val="000000"/>
          <w:shd w:val="clear" w:color="auto" w:fill="FFFFFF"/>
        </w:rPr>
        <w:t> </w:t>
      </w:r>
      <w:r w:rsidRPr="00A46CA2">
        <w:rPr>
          <w:rFonts w:cstheme="minorHAnsi"/>
          <w:i/>
          <w:iCs/>
          <w:color w:val="000000"/>
          <w:shd w:val="clear" w:color="auto" w:fill="FFFFFF"/>
          <w:lang w:val="en-CA"/>
        </w:rPr>
        <w:t xml:space="preserve">“The values underlying the principle of stare decisis are well </w:t>
      </w:r>
      <w:proofErr w:type="gramStart"/>
      <w:r w:rsidRPr="00A46CA2">
        <w:rPr>
          <w:rFonts w:cstheme="minorHAnsi"/>
          <w:i/>
          <w:iCs/>
          <w:color w:val="000000"/>
          <w:shd w:val="clear" w:color="auto" w:fill="FFFFFF"/>
          <w:lang w:val="en-CA"/>
        </w:rPr>
        <w:t>known:</w:t>
      </w:r>
      <w:proofErr w:type="gramEnd"/>
      <w:r w:rsidRPr="00A46CA2">
        <w:rPr>
          <w:rFonts w:cstheme="minorHAnsi"/>
          <w:i/>
          <w:iCs/>
          <w:color w:val="000000"/>
          <w:shd w:val="clear" w:color="auto" w:fill="FFFFFF"/>
          <w:lang w:val="en-CA"/>
        </w:rPr>
        <w:t xml:space="preserve"> consistency, certainty, predictability and sound judicial [page191] administration. Adherence to precedent promotes these values. The more willing a court is to abandon its own previous judgments, the greater the prospect for confusion and uncertainty</w:t>
      </w:r>
      <w:proofErr w:type="gramStart"/>
      <w:r w:rsidR="007F4D13" w:rsidRPr="00A46CA2">
        <w:rPr>
          <w:rFonts w:cstheme="minorHAnsi"/>
          <w:i/>
          <w:iCs/>
          <w:color w:val="000000"/>
          <w:shd w:val="clear" w:color="auto" w:fill="FFFFFF"/>
          <w:lang w:val="en-CA"/>
        </w:rPr>
        <w:t>…</w:t>
      </w:r>
      <w:r w:rsidRPr="00A46CA2">
        <w:rPr>
          <w:rFonts w:cstheme="minorHAnsi"/>
          <w:i/>
          <w:iCs/>
          <w:color w:val="000000"/>
          <w:shd w:val="clear" w:color="auto" w:fill="FFFFFF"/>
          <w:lang w:val="en-CA"/>
        </w:rPr>
        <w:t>”People</w:t>
      </w:r>
      <w:proofErr w:type="gramEnd"/>
      <w:r w:rsidRPr="00A46CA2">
        <w:rPr>
          <w:rFonts w:cstheme="minorHAnsi"/>
          <w:i/>
          <w:iCs/>
          <w:color w:val="000000"/>
          <w:shd w:val="clear" w:color="auto" w:fill="FFFFFF"/>
          <w:lang w:val="en-CA"/>
        </w:rPr>
        <w:t xml:space="preserve"> should be able to know the law so that they can conduct themselves in accordance with it.”</w:t>
      </w:r>
    </w:p>
    <w:p w14:paraId="620EF4B9" w14:textId="3602DCBD" w:rsidR="0030143E" w:rsidRPr="00A46CA2" w:rsidRDefault="0030143E" w:rsidP="0030143E">
      <w:pPr>
        <w:pStyle w:val="ListParagraph"/>
        <w:ind w:left="1440"/>
        <w:rPr>
          <w:rFonts w:cstheme="minorHAnsi"/>
          <w:i/>
          <w:iCs/>
          <w:color w:val="000000"/>
          <w:shd w:val="clear" w:color="auto" w:fill="FFFFFF"/>
          <w:lang w:val="en-CA"/>
        </w:rPr>
      </w:pPr>
      <w:r w:rsidRPr="00A46CA2">
        <w:rPr>
          <w:rFonts w:cstheme="minorHAnsi"/>
          <w:i/>
          <w:iCs/>
          <w:color w:val="000000"/>
          <w:shd w:val="clear" w:color="auto" w:fill="FFFFFF"/>
          <w:lang w:val="en-CA"/>
        </w:rPr>
        <w:t>…</w:t>
      </w:r>
    </w:p>
    <w:p w14:paraId="76EEF266" w14:textId="6B59629C" w:rsidR="0030143E" w:rsidRDefault="0030143E" w:rsidP="00A46CA2">
      <w:pPr>
        <w:pStyle w:val="ListParagraph"/>
        <w:ind w:left="1440"/>
        <w:rPr>
          <w:rFonts w:cstheme="minorHAnsi"/>
          <w:b/>
          <w:bCs/>
          <w:i/>
          <w:iCs/>
          <w:color w:val="000000"/>
          <w:shd w:val="clear" w:color="auto" w:fill="FFFFFF"/>
        </w:rPr>
      </w:pPr>
      <w:r w:rsidRPr="00A46CA2">
        <w:rPr>
          <w:rFonts w:cstheme="minorHAnsi"/>
          <w:i/>
          <w:iCs/>
          <w:color w:val="000000"/>
          <w:shd w:val="clear" w:color="auto" w:fill="FFFFFF"/>
        </w:rPr>
        <w:t>“Adherence to precedent also enhances the legitimacy and acceptability of judge-made law, and by so doing enhances the appearance of justice.</w:t>
      </w:r>
      <w:r w:rsidR="00E420C5">
        <w:rPr>
          <w:rFonts w:cstheme="minorHAnsi"/>
          <w:i/>
          <w:iCs/>
          <w:color w:val="000000"/>
          <w:shd w:val="clear" w:color="auto" w:fill="FFFFFF"/>
        </w:rPr>
        <w:t xml:space="preserve">” </w:t>
      </w:r>
      <w:r w:rsidRPr="008541A8">
        <w:rPr>
          <w:rFonts w:cstheme="minorHAnsi"/>
          <w:b/>
          <w:bCs/>
          <w:i/>
          <w:iCs/>
          <w:color w:val="000000"/>
          <w:shd w:val="clear" w:color="auto" w:fill="FFFFFF"/>
        </w:rPr>
        <w:t xml:space="preserve">David Polowin 2005 </w:t>
      </w:r>
      <w:proofErr w:type="spellStart"/>
      <w:r w:rsidRPr="008541A8">
        <w:rPr>
          <w:rFonts w:cstheme="minorHAnsi"/>
          <w:b/>
          <w:bCs/>
          <w:i/>
          <w:iCs/>
          <w:color w:val="000000"/>
          <w:shd w:val="clear" w:color="auto" w:fill="FFFFFF"/>
        </w:rPr>
        <w:t>CanLII</w:t>
      </w:r>
      <w:proofErr w:type="spellEnd"/>
      <w:r w:rsidRPr="008541A8">
        <w:rPr>
          <w:rFonts w:cstheme="minorHAnsi"/>
          <w:b/>
          <w:bCs/>
          <w:i/>
          <w:iCs/>
          <w:color w:val="000000"/>
          <w:shd w:val="clear" w:color="auto" w:fill="FFFFFF"/>
        </w:rPr>
        <w:t xml:space="preserve"> 21093</w:t>
      </w:r>
      <w:r w:rsidR="007F4D13" w:rsidRPr="008541A8">
        <w:rPr>
          <w:rFonts w:cstheme="minorHAnsi"/>
          <w:b/>
          <w:bCs/>
          <w:i/>
          <w:iCs/>
          <w:color w:val="000000"/>
          <w:shd w:val="clear" w:color="auto" w:fill="FFFFFF"/>
        </w:rPr>
        <w:t xml:space="preserve"> ONCA</w:t>
      </w:r>
    </w:p>
    <w:p w14:paraId="667E3363" w14:textId="6D727047" w:rsidR="00661332" w:rsidRPr="0041339B" w:rsidRDefault="00661332" w:rsidP="0041339B">
      <w:pPr>
        <w:rPr>
          <w:rFonts w:cstheme="minorHAnsi"/>
          <w:i/>
          <w:iCs/>
        </w:rPr>
      </w:pPr>
    </w:p>
    <w:p w14:paraId="485B1F90" w14:textId="3CA26B5B" w:rsidR="0030143E" w:rsidRPr="00A46CA2" w:rsidRDefault="0030143E" w:rsidP="0030143E">
      <w:pPr>
        <w:rPr>
          <w:rFonts w:asciiTheme="minorHAnsi" w:hAnsiTheme="minorHAnsi" w:cstheme="minorHAnsi"/>
          <w:i/>
          <w:iCs/>
          <w:sz w:val="22"/>
          <w:szCs w:val="22"/>
        </w:rPr>
      </w:pPr>
      <w:r w:rsidRPr="00A46CA2">
        <w:rPr>
          <w:rFonts w:asciiTheme="minorHAnsi" w:hAnsiTheme="minorHAnsi" w:cstheme="minorHAnsi"/>
          <w:i/>
          <w:iCs/>
          <w:sz w:val="22"/>
          <w:szCs w:val="22"/>
        </w:rPr>
        <w:t xml:space="preserve">Trial Fairness </w:t>
      </w:r>
      <w:r w:rsidRPr="00A46CA2">
        <w:rPr>
          <w:rFonts w:asciiTheme="minorHAnsi" w:hAnsiTheme="minorHAnsi" w:cstheme="minorHAnsi"/>
          <w:b/>
          <w:i/>
          <w:iCs/>
          <w:sz w:val="22"/>
          <w:szCs w:val="22"/>
        </w:rPr>
        <w:t>(Harrer</w:t>
      </w:r>
      <w:r w:rsidRPr="00A46CA2">
        <w:rPr>
          <w:rFonts w:asciiTheme="minorHAnsi" w:hAnsiTheme="minorHAnsi" w:cstheme="minorHAnsi"/>
          <w:i/>
          <w:iCs/>
          <w:sz w:val="22"/>
          <w:szCs w:val="22"/>
        </w:rPr>
        <w:t>)</w:t>
      </w:r>
    </w:p>
    <w:p w14:paraId="6AD6F132" w14:textId="52EFEEE5" w:rsidR="0030143E" w:rsidRPr="00A46CA2" w:rsidRDefault="0030143E" w:rsidP="0030143E">
      <w:pPr>
        <w:rPr>
          <w:rFonts w:asciiTheme="minorHAnsi" w:hAnsiTheme="minorHAnsi" w:cstheme="minorHAnsi"/>
          <w:i/>
          <w:iCs/>
          <w:sz w:val="22"/>
          <w:szCs w:val="22"/>
        </w:rPr>
      </w:pPr>
    </w:p>
    <w:p w14:paraId="567CCE18" w14:textId="1B53EFF9" w:rsidR="00E420C5" w:rsidRPr="00E420C5" w:rsidRDefault="008F78DC" w:rsidP="0030143E">
      <w:pPr>
        <w:pStyle w:val="ListParagraph"/>
        <w:numPr>
          <w:ilvl w:val="0"/>
          <w:numId w:val="8"/>
        </w:numPr>
        <w:rPr>
          <w:rFonts w:cstheme="minorHAnsi"/>
          <w:i/>
          <w:iCs/>
        </w:rPr>
      </w:pPr>
      <w:r>
        <w:rPr>
          <w:rFonts w:cstheme="minorHAnsi"/>
          <w:i/>
          <w:iCs/>
          <w:lang w:val="en-CA"/>
        </w:rPr>
        <w:t>“</w:t>
      </w:r>
      <w:r w:rsidR="0030143E" w:rsidRPr="00A46CA2">
        <w:rPr>
          <w:rFonts w:cstheme="minorHAnsi"/>
          <w:i/>
          <w:iCs/>
          <w:lang w:val="en-CA"/>
        </w:rPr>
        <w:t>At base, a fair trial is a trial that appears fair, both from the perspective of the accused and the perspective of the community.  A fair trial must not be confused with the most advantageous trial possible from the accused's point of view: R. v. Lyons, </w:t>
      </w:r>
      <w:hyperlink r:id="rId7" w:history="1">
        <w:r w:rsidR="0030143E" w:rsidRPr="00A46CA2">
          <w:rPr>
            <w:rStyle w:val="Hyperlink"/>
            <w:rFonts w:cstheme="minorHAnsi"/>
            <w:i/>
            <w:iCs/>
            <w:lang w:val="en-CA"/>
          </w:rPr>
          <w:t>1987 CanLII 25 (SCC)</w:t>
        </w:r>
      </w:hyperlink>
      <w:r w:rsidR="0030143E" w:rsidRPr="00A46CA2">
        <w:rPr>
          <w:rFonts w:cstheme="minorHAnsi"/>
          <w:i/>
          <w:iCs/>
          <w:lang w:val="en-CA"/>
        </w:rPr>
        <w:t>, [1987] 2 S.C.R. 309, at p. 362, per La Forest J.  Nor must it be conflated with the perfect trial; in the real world, perfection is seldom attained.  A fair trial is one which satisfies the public interest in getting at the truth, while preserving basic procedural fairness to the accused.</w:t>
      </w:r>
      <w:r>
        <w:rPr>
          <w:rFonts w:cstheme="minorHAnsi"/>
          <w:i/>
          <w:iCs/>
          <w:lang w:val="en-CA"/>
        </w:rPr>
        <w:t>”</w:t>
      </w:r>
      <w:r w:rsidR="0030143E" w:rsidRPr="00A46CA2">
        <w:rPr>
          <w:rFonts w:cstheme="minorHAnsi"/>
          <w:i/>
          <w:iCs/>
          <w:lang w:val="en-CA"/>
        </w:rPr>
        <w:t> </w:t>
      </w:r>
    </w:p>
    <w:p w14:paraId="20603902" w14:textId="2677D5CC" w:rsidR="00E420C5" w:rsidRDefault="00E420C5" w:rsidP="00E420C5">
      <w:pPr>
        <w:pStyle w:val="ListParagraph"/>
        <w:ind w:left="1449"/>
        <w:rPr>
          <w:rFonts w:cstheme="minorHAnsi"/>
          <w:i/>
          <w:iCs/>
        </w:rPr>
      </w:pPr>
    </w:p>
    <w:p w14:paraId="59AC980A" w14:textId="351A221D" w:rsidR="0030143E" w:rsidRPr="00E420C5" w:rsidRDefault="008F78DC" w:rsidP="00E420C5">
      <w:pPr>
        <w:pStyle w:val="ListParagraph"/>
        <w:ind w:left="1449"/>
        <w:rPr>
          <w:rFonts w:cstheme="minorHAnsi"/>
          <w:b/>
          <w:bCs/>
          <w:i/>
          <w:iCs/>
        </w:rPr>
      </w:pPr>
      <w:r>
        <w:rPr>
          <w:rFonts w:cstheme="minorHAnsi"/>
          <w:i/>
          <w:iCs/>
          <w:lang w:val="en-CA"/>
        </w:rPr>
        <w:t>“</w:t>
      </w:r>
      <w:r w:rsidR="00E420C5" w:rsidRPr="00E420C5">
        <w:rPr>
          <w:rFonts w:cstheme="minorHAnsi"/>
          <w:i/>
          <w:iCs/>
          <w:lang w:val="en-CA"/>
        </w:rPr>
        <w:t>Evidence may render a trial unfair for a variety of reasons.  The way in which it was taken may render it unreliable.  Its potential for misleading the trier of fact may outweigh such minimal value it might possess.  Again, the police may have acted in such an abusive fashion that the court concludes the admission of the evidence would irremediably taint the fairness of the trial itself.  In the case at bar, police abuse or unfairness is the only ground raised, and hence the only one with which we need concern ourselves.</w:t>
      </w:r>
      <w:r>
        <w:rPr>
          <w:rFonts w:cstheme="minorHAnsi"/>
          <w:i/>
          <w:iCs/>
          <w:lang w:val="en-CA"/>
        </w:rPr>
        <w:t>”</w:t>
      </w:r>
      <w:r w:rsidR="00E420C5">
        <w:rPr>
          <w:rFonts w:cstheme="minorHAnsi"/>
          <w:i/>
          <w:iCs/>
          <w:lang w:val="en-CA"/>
        </w:rPr>
        <w:t xml:space="preserve"> </w:t>
      </w:r>
      <w:r w:rsidR="007F4D13" w:rsidRPr="00E420C5">
        <w:rPr>
          <w:rFonts w:cstheme="minorHAnsi"/>
          <w:b/>
          <w:bCs/>
          <w:i/>
          <w:iCs/>
          <w:lang w:val="en-CA"/>
        </w:rPr>
        <w:t>Harrer 1995 CanLII 70 SCC, para 45</w:t>
      </w:r>
      <w:r w:rsidR="00E420C5" w:rsidRPr="00E420C5">
        <w:rPr>
          <w:rFonts w:cstheme="minorHAnsi"/>
          <w:b/>
          <w:bCs/>
          <w:i/>
          <w:iCs/>
          <w:lang w:val="en-CA"/>
        </w:rPr>
        <w:t>-46</w:t>
      </w:r>
    </w:p>
    <w:p w14:paraId="473A8F27" w14:textId="0633C92E" w:rsidR="0030143E" w:rsidRPr="00A46CA2" w:rsidRDefault="0030143E" w:rsidP="0030143E">
      <w:pPr>
        <w:rPr>
          <w:rFonts w:asciiTheme="minorHAnsi" w:hAnsiTheme="minorHAnsi" w:cstheme="minorHAnsi"/>
          <w:b/>
          <w:sz w:val="22"/>
          <w:szCs w:val="22"/>
        </w:rPr>
      </w:pPr>
      <w:r w:rsidRPr="00A46CA2">
        <w:rPr>
          <w:rFonts w:asciiTheme="minorHAnsi" w:hAnsiTheme="minorHAnsi" w:cstheme="minorHAnsi"/>
          <w:b/>
          <w:sz w:val="22"/>
          <w:szCs w:val="22"/>
        </w:rPr>
        <w:t>Fundamental Principles Applicable to Accused: The Big Three</w:t>
      </w:r>
    </w:p>
    <w:p w14:paraId="0BB99061" w14:textId="77777777" w:rsidR="007F4D13" w:rsidRPr="00A46CA2" w:rsidRDefault="007F4D13" w:rsidP="0030143E">
      <w:pPr>
        <w:rPr>
          <w:rFonts w:asciiTheme="minorHAnsi" w:hAnsiTheme="minorHAnsi" w:cstheme="minorHAnsi"/>
          <w:sz w:val="22"/>
          <w:szCs w:val="22"/>
        </w:rPr>
      </w:pPr>
    </w:p>
    <w:p w14:paraId="2C92AC34" w14:textId="68E48239" w:rsidR="0030143E" w:rsidRPr="00A46CA2" w:rsidRDefault="0030143E" w:rsidP="0030143E">
      <w:pPr>
        <w:numPr>
          <w:ilvl w:val="0"/>
          <w:numId w:val="1"/>
        </w:numPr>
        <w:rPr>
          <w:rFonts w:asciiTheme="minorHAnsi" w:hAnsiTheme="minorHAnsi" w:cstheme="minorHAnsi"/>
          <w:sz w:val="22"/>
          <w:szCs w:val="22"/>
        </w:rPr>
      </w:pPr>
      <w:r w:rsidRPr="00A46CA2">
        <w:rPr>
          <w:rFonts w:asciiTheme="minorHAnsi" w:hAnsiTheme="minorHAnsi" w:cstheme="minorHAnsi"/>
          <w:sz w:val="22"/>
          <w:szCs w:val="22"/>
        </w:rPr>
        <w:t>Presumption of Innocence: (</w:t>
      </w:r>
      <w:proofErr w:type="spellStart"/>
      <w:r w:rsidRPr="00A46CA2">
        <w:rPr>
          <w:rFonts w:asciiTheme="minorHAnsi" w:hAnsiTheme="minorHAnsi" w:cstheme="minorHAnsi"/>
          <w:b/>
          <w:bCs/>
          <w:i/>
          <w:iCs/>
          <w:sz w:val="22"/>
          <w:szCs w:val="22"/>
        </w:rPr>
        <w:t>Woolmington</w:t>
      </w:r>
      <w:proofErr w:type="spellEnd"/>
      <w:r w:rsidRPr="00A46CA2">
        <w:rPr>
          <w:rFonts w:asciiTheme="minorHAnsi" w:hAnsiTheme="minorHAnsi" w:cstheme="minorHAnsi"/>
          <w:b/>
          <w:bCs/>
          <w:i/>
          <w:iCs/>
          <w:sz w:val="22"/>
          <w:szCs w:val="22"/>
        </w:rPr>
        <w:t xml:space="preserve"> v. DPP</w:t>
      </w:r>
      <w:r w:rsidRPr="00A46CA2">
        <w:rPr>
          <w:rFonts w:asciiTheme="minorHAnsi" w:hAnsiTheme="minorHAnsi" w:cstheme="minorHAnsi"/>
          <w:sz w:val="22"/>
          <w:szCs w:val="22"/>
        </w:rPr>
        <w:t>, Charter s. 11(d))</w:t>
      </w:r>
    </w:p>
    <w:p w14:paraId="2164AC43" w14:textId="2E313ADE" w:rsidR="007F4D13" w:rsidRPr="00A46CA2" w:rsidRDefault="007F4D13" w:rsidP="007F4D13">
      <w:pPr>
        <w:rPr>
          <w:rFonts w:asciiTheme="minorHAnsi" w:hAnsiTheme="minorHAnsi" w:cstheme="minorHAnsi"/>
          <w:sz w:val="22"/>
          <w:szCs w:val="22"/>
        </w:rPr>
      </w:pPr>
    </w:p>
    <w:p w14:paraId="31AC16CA" w14:textId="03C85653" w:rsidR="007F4D13" w:rsidRDefault="007F4D13" w:rsidP="00E71EFC">
      <w:pPr>
        <w:pStyle w:val="ListParagraph"/>
        <w:numPr>
          <w:ilvl w:val="0"/>
          <w:numId w:val="8"/>
        </w:numPr>
        <w:rPr>
          <w:rFonts w:cstheme="minorHAnsi"/>
          <w:b/>
          <w:bCs/>
          <w:i/>
          <w:iCs/>
        </w:rPr>
      </w:pPr>
      <w:r w:rsidRPr="00A46CA2">
        <w:rPr>
          <w:rFonts w:cstheme="minorHAnsi"/>
          <w:i/>
          <w:iCs/>
        </w:rPr>
        <w:t xml:space="preserve">"Throughout the web of the English Criminal Law one golden thread is always to be seen that it is the duty of the prosecution to prove the prisoner's guilt subject to... the </w:t>
      </w:r>
      <w:proofErr w:type="spellStart"/>
      <w:r w:rsidRPr="00A46CA2">
        <w:rPr>
          <w:rFonts w:cstheme="minorHAnsi"/>
          <w:i/>
          <w:iCs/>
        </w:rPr>
        <w:t>defence</w:t>
      </w:r>
      <w:proofErr w:type="spellEnd"/>
      <w:r w:rsidRPr="00A46CA2">
        <w:rPr>
          <w:rFonts w:cstheme="minorHAnsi"/>
          <w:i/>
          <w:iCs/>
        </w:rPr>
        <w:t xml:space="preserve"> of insanity and subject also to any statutory exception. If, at the end of and on the whole of the case, there is a reasonable doubt, created by the evidence given by either the prosecution or the prisoner... the prosecution has not made out the case and the prisoner is entitled to an acquittal. No matter what the charge or where the trial, the principle that the prosecution must prove the guilt of the prisoner is part of the common law of England and no attempt to whittle it down can be entertained." </w:t>
      </w:r>
      <w:proofErr w:type="spellStart"/>
      <w:r w:rsidRPr="008F78DC">
        <w:rPr>
          <w:rFonts w:cstheme="minorHAnsi"/>
          <w:b/>
          <w:bCs/>
          <w:i/>
          <w:iCs/>
        </w:rPr>
        <w:t>Woolmington</w:t>
      </w:r>
      <w:proofErr w:type="spellEnd"/>
      <w:r w:rsidRPr="008F78DC">
        <w:rPr>
          <w:rFonts w:cstheme="minorHAnsi"/>
          <w:b/>
          <w:bCs/>
          <w:i/>
          <w:iCs/>
        </w:rPr>
        <w:t xml:space="preserve"> v. DPP [1935] UKHL 1</w:t>
      </w:r>
    </w:p>
    <w:p w14:paraId="37A4721D" w14:textId="77777777" w:rsidR="004838C3" w:rsidRPr="008F78DC" w:rsidRDefault="004838C3" w:rsidP="004838C3">
      <w:pPr>
        <w:pStyle w:val="ListParagraph"/>
        <w:ind w:left="1449"/>
        <w:rPr>
          <w:rFonts w:cstheme="minorHAnsi"/>
          <w:b/>
          <w:bCs/>
          <w:i/>
          <w:iCs/>
        </w:rPr>
      </w:pPr>
    </w:p>
    <w:p w14:paraId="32374587" w14:textId="607116E2" w:rsidR="00E71EFC" w:rsidRPr="00A46CA2" w:rsidRDefault="00E71EFC" w:rsidP="00E71EFC">
      <w:pPr>
        <w:pStyle w:val="ListParagraph"/>
        <w:numPr>
          <w:ilvl w:val="0"/>
          <w:numId w:val="8"/>
        </w:numPr>
        <w:rPr>
          <w:rFonts w:cstheme="minorHAnsi"/>
          <w:i/>
          <w:iCs/>
        </w:rPr>
      </w:pPr>
      <w:r w:rsidRPr="00A46CA2">
        <w:rPr>
          <w:rFonts w:cstheme="minorHAnsi"/>
        </w:rPr>
        <w:t xml:space="preserve">The accused is presumed to be legally, but not morally innocent, before and after he or she is charged, right up until verdict. If found not guilty, then he or she is innocent in the eyes of the law. If found guilty, the presumption </w:t>
      </w:r>
      <w:r w:rsidR="00143E43">
        <w:rPr>
          <w:rFonts w:cstheme="minorHAnsi"/>
        </w:rPr>
        <w:t>o</w:t>
      </w:r>
      <w:r w:rsidRPr="00A46CA2">
        <w:rPr>
          <w:rFonts w:cstheme="minorHAnsi"/>
        </w:rPr>
        <w:t>f innocence has come to an end because proof of guilt has been demonstrated beyond a reasonable doubt, or the accused has admitted his or her guilt.</w:t>
      </w:r>
    </w:p>
    <w:p w14:paraId="11E502FC" w14:textId="5EAB7A65" w:rsidR="0030143E" w:rsidRPr="00A46CA2" w:rsidRDefault="0030143E" w:rsidP="0030143E">
      <w:pPr>
        <w:numPr>
          <w:ilvl w:val="0"/>
          <w:numId w:val="1"/>
        </w:numPr>
        <w:rPr>
          <w:rFonts w:asciiTheme="minorHAnsi" w:hAnsiTheme="minorHAnsi" w:cstheme="minorHAnsi"/>
          <w:sz w:val="22"/>
          <w:szCs w:val="22"/>
        </w:rPr>
      </w:pPr>
      <w:r w:rsidRPr="00A46CA2">
        <w:rPr>
          <w:rFonts w:asciiTheme="minorHAnsi" w:hAnsiTheme="minorHAnsi" w:cstheme="minorHAnsi"/>
          <w:sz w:val="22"/>
          <w:szCs w:val="22"/>
        </w:rPr>
        <w:t>Right to Silence: (</w:t>
      </w:r>
      <w:r w:rsidRPr="00A46CA2">
        <w:rPr>
          <w:rFonts w:asciiTheme="minorHAnsi" w:hAnsiTheme="minorHAnsi" w:cstheme="minorHAnsi"/>
          <w:b/>
          <w:i/>
          <w:sz w:val="22"/>
          <w:szCs w:val="22"/>
        </w:rPr>
        <w:t>Turcotte, Cyr, Noble,</w:t>
      </w:r>
      <w:r w:rsidRPr="00A46CA2">
        <w:rPr>
          <w:rFonts w:asciiTheme="minorHAnsi" w:hAnsiTheme="minorHAnsi" w:cstheme="minorHAnsi"/>
          <w:b/>
          <w:i/>
          <w:iCs/>
          <w:sz w:val="22"/>
          <w:szCs w:val="22"/>
        </w:rPr>
        <w:t xml:space="preserve"> </w:t>
      </w:r>
      <w:r w:rsidRPr="00A46CA2">
        <w:rPr>
          <w:rFonts w:asciiTheme="minorHAnsi" w:hAnsiTheme="minorHAnsi" w:cstheme="minorHAnsi"/>
          <w:i/>
          <w:iCs/>
          <w:sz w:val="22"/>
          <w:szCs w:val="22"/>
        </w:rPr>
        <w:t xml:space="preserve">Charter </w:t>
      </w:r>
      <w:r w:rsidRPr="00A46CA2">
        <w:rPr>
          <w:rFonts w:asciiTheme="minorHAnsi" w:hAnsiTheme="minorHAnsi" w:cstheme="minorHAnsi"/>
          <w:sz w:val="22"/>
          <w:szCs w:val="22"/>
        </w:rPr>
        <w:t>ss.10 (police warning card), 11(c), 13)</w:t>
      </w:r>
    </w:p>
    <w:p w14:paraId="7850C2C8" w14:textId="4D4D685E" w:rsidR="007F4D13" w:rsidRPr="00A46CA2" w:rsidRDefault="007F4D13" w:rsidP="007F4D13">
      <w:pPr>
        <w:rPr>
          <w:rFonts w:asciiTheme="minorHAnsi" w:hAnsiTheme="minorHAnsi" w:cstheme="minorHAnsi"/>
          <w:sz w:val="22"/>
          <w:szCs w:val="22"/>
        </w:rPr>
      </w:pPr>
    </w:p>
    <w:p w14:paraId="201955AA" w14:textId="47EBC02E" w:rsidR="00426817" w:rsidRDefault="007F4D13" w:rsidP="00426817">
      <w:pPr>
        <w:pStyle w:val="ListParagraph"/>
        <w:numPr>
          <w:ilvl w:val="0"/>
          <w:numId w:val="8"/>
        </w:numPr>
        <w:rPr>
          <w:rFonts w:cstheme="minorHAnsi"/>
        </w:rPr>
      </w:pPr>
      <w:r w:rsidRPr="00A46CA2">
        <w:rPr>
          <w:rFonts w:cstheme="minorHAnsi"/>
        </w:rPr>
        <w:t xml:space="preserve">A right is yours because you are human and alive and in Canada. It cannot be taken from you though it can be limited in some circumstances due to a balancing of the interests of the one against the many. You may waive a right (consent to it being interfered with) for a specific time and purpose. </w:t>
      </w:r>
    </w:p>
    <w:p w14:paraId="3A38916F" w14:textId="77777777" w:rsidR="00426817" w:rsidRPr="00426817" w:rsidRDefault="00426817" w:rsidP="00426817">
      <w:pPr>
        <w:pStyle w:val="ListParagraph"/>
        <w:ind w:left="1449"/>
        <w:rPr>
          <w:rFonts w:cstheme="minorHAnsi"/>
        </w:rPr>
      </w:pPr>
    </w:p>
    <w:p w14:paraId="34035288" w14:textId="2730184E" w:rsidR="00E71EFC" w:rsidRDefault="007F326E" w:rsidP="00267BCB">
      <w:pPr>
        <w:pStyle w:val="ListParagraph"/>
        <w:numPr>
          <w:ilvl w:val="0"/>
          <w:numId w:val="8"/>
        </w:numPr>
        <w:shd w:val="clear" w:color="auto" w:fill="FFFFFF"/>
        <w:rPr>
          <w:rFonts w:cstheme="minorHAnsi"/>
          <w:i/>
          <w:iCs/>
          <w:color w:val="000000"/>
        </w:rPr>
      </w:pPr>
      <w:r>
        <w:rPr>
          <w:rFonts w:cstheme="minorHAnsi"/>
          <w:i/>
          <w:iCs/>
          <w:color w:val="000000"/>
        </w:rPr>
        <w:t>“</w:t>
      </w:r>
      <w:r w:rsidR="00E71EFC" w:rsidRPr="00A46CA2">
        <w:rPr>
          <w:rFonts w:cstheme="minorHAnsi"/>
          <w:i/>
          <w:iCs/>
          <w:color w:val="000000"/>
        </w:rPr>
        <w:t>It is true that, as a general matter, the identity of the accused is not evidence emanating from the accused, nor is it evidence that cannot be obtained but for the participation of the accused.  A person's identity is pre-existing "real evidence" inasmuch as a person's physical characteristics exist irrespective of any </w:t>
      </w:r>
      <w:hyperlink r:id="rId8" w:history="1">
        <w:r w:rsidR="00E71EFC" w:rsidRPr="00A46CA2">
          <w:rPr>
            <w:rStyle w:val="Hyperlink"/>
            <w:rFonts w:cstheme="minorHAnsi"/>
            <w:i/>
            <w:iCs/>
            <w:color w:val="027ABB"/>
          </w:rPr>
          <w:t>Charter</w:t>
        </w:r>
      </w:hyperlink>
      <w:r w:rsidR="00E71EFC" w:rsidRPr="00A46CA2">
        <w:rPr>
          <w:rFonts w:cstheme="minorHAnsi"/>
          <w:i/>
          <w:iCs/>
          <w:color w:val="000000"/>
        </w:rPr>
        <w:t> violation or of any steps taken by the police</w:t>
      </w:r>
      <w:r>
        <w:rPr>
          <w:rFonts w:cstheme="minorHAnsi"/>
          <w:i/>
          <w:iCs/>
          <w:color w:val="000000"/>
        </w:rPr>
        <w:t>”</w:t>
      </w:r>
      <w:r w:rsidR="00E71EFC" w:rsidRPr="00A46CA2">
        <w:rPr>
          <w:rFonts w:cstheme="minorHAnsi"/>
          <w:i/>
          <w:iCs/>
          <w:color w:val="000000"/>
        </w:rPr>
        <w:t>. </w:t>
      </w:r>
    </w:p>
    <w:p w14:paraId="457BCF74" w14:textId="77777777" w:rsidR="00426817" w:rsidRPr="00426817" w:rsidRDefault="00426817" w:rsidP="00426817">
      <w:pPr>
        <w:pStyle w:val="ListParagraph"/>
        <w:rPr>
          <w:rFonts w:cstheme="minorHAnsi"/>
          <w:i/>
          <w:iCs/>
          <w:color w:val="000000"/>
        </w:rPr>
      </w:pPr>
    </w:p>
    <w:p w14:paraId="32041F54" w14:textId="77777777" w:rsidR="00426817" w:rsidRPr="00426817" w:rsidRDefault="00426817" w:rsidP="00426817">
      <w:pPr>
        <w:pStyle w:val="ListParagraph"/>
        <w:numPr>
          <w:ilvl w:val="0"/>
          <w:numId w:val="8"/>
        </w:numPr>
        <w:rPr>
          <w:rFonts w:ascii="Calibri" w:hAnsi="Calibri" w:cs="Calibri"/>
        </w:rPr>
      </w:pPr>
      <w:r w:rsidRPr="00426817">
        <w:rPr>
          <w:rFonts w:ascii="Calibri" w:hAnsi="Calibri" w:cs="Calibri"/>
          <w:i/>
          <w:iCs/>
          <w:u w:val="single"/>
        </w:rPr>
        <w:t>Ibrahim v. The King [1914] AC 599</w:t>
      </w:r>
      <w:r w:rsidRPr="00426817">
        <w:rPr>
          <w:rFonts w:ascii="Calibri" w:hAnsi="Calibri" w:cs="Calibri"/>
          <w:i/>
          <w:iCs/>
        </w:rPr>
        <w:t xml:space="preserve"> </w:t>
      </w:r>
      <w:r w:rsidRPr="00426817">
        <w:rPr>
          <w:rFonts w:ascii="Calibri" w:hAnsi="Calibri" w:cs="Calibri"/>
        </w:rPr>
        <w:t xml:space="preserve"> </w:t>
      </w:r>
    </w:p>
    <w:p w14:paraId="6332A737" w14:textId="77777777" w:rsidR="00426817" w:rsidRPr="00426817" w:rsidRDefault="00426817" w:rsidP="00426817">
      <w:pPr>
        <w:rPr>
          <w:rFonts w:ascii="Calibri" w:hAnsi="Calibri" w:cs="Calibri"/>
          <w:i/>
          <w:iCs/>
        </w:rPr>
      </w:pPr>
    </w:p>
    <w:p w14:paraId="2945D0AF" w14:textId="77777777" w:rsidR="00426817" w:rsidRPr="00426817" w:rsidRDefault="00426817" w:rsidP="00426817">
      <w:pPr>
        <w:pStyle w:val="ListParagraph"/>
        <w:ind w:left="1449"/>
        <w:rPr>
          <w:rFonts w:ascii="Calibri" w:hAnsi="Calibri" w:cs="Calibri"/>
        </w:rPr>
      </w:pPr>
      <w:r w:rsidRPr="00426817">
        <w:rPr>
          <w:rFonts w:ascii="Calibri" w:hAnsi="Calibri" w:cs="Calibri"/>
          <w:i/>
          <w:iCs/>
        </w:rPr>
        <w:t>‘It has long been established as a positive rule of English criminal law, that no statement by an accused is admissible in evidence against him unless it is shewn by the prosecution to have been a voluntary statement, in the sense that it has not been obtained from him either by fear of prejudice or hope of advantage exercised or held out by a person in authority. The principle is as old as Lord Hale.</w:t>
      </w:r>
    </w:p>
    <w:p w14:paraId="7B213F06" w14:textId="77777777" w:rsidR="00426817" w:rsidRDefault="00426817" w:rsidP="002F4F78">
      <w:pPr>
        <w:pStyle w:val="ListParagraph"/>
        <w:shd w:val="clear" w:color="auto" w:fill="FFFFFF"/>
        <w:ind w:left="1449"/>
        <w:rPr>
          <w:rFonts w:cstheme="minorHAnsi"/>
          <w:i/>
          <w:iCs/>
          <w:color w:val="000000"/>
        </w:rPr>
      </w:pPr>
    </w:p>
    <w:p w14:paraId="02008814" w14:textId="77777777" w:rsidR="008F78DC" w:rsidRPr="00A46CA2" w:rsidRDefault="008F78DC" w:rsidP="008F78DC">
      <w:pPr>
        <w:pStyle w:val="ListParagraph"/>
        <w:shd w:val="clear" w:color="auto" w:fill="FFFFFF"/>
        <w:ind w:left="1449"/>
        <w:rPr>
          <w:rFonts w:cstheme="minorHAnsi"/>
          <w:i/>
          <w:iCs/>
          <w:color w:val="000000"/>
        </w:rPr>
      </w:pPr>
    </w:p>
    <w:p w14:paraId="1EA122A3" w14:textId="482B93F4" w:rsidR="00E71EFC" w:rsidRPr="00A46CA2" w:rsidRDefault="007F326E" w:rsidP="00E71EFC">
      <w:pPr>
        <w:pStyle w:val="ListParagraph"/>
        <w:shd w:val="clear" w:color="auto" w:fill="FFFFFF"/>
        <w:ind w:left="1449"/>
        <w:rPr>
          <w:rFonts w:cstheme="minorHAnsi"/>
          <w:i/>
          <w:iCs/>
          <w:color w:val="000000"/>
        </w:rPr>
      </w:pPr>
      <w:r>
        <w:rPr>
          <w:rFonts w:cstheme="minorHAnsi"/>
          <w:i/>
          <w:iCs/>
          <w:color w:val="000000"/>
        </w:rPr>
        <w:t>“</w:t>
      </w:r>
      <w:r w:rsidR="00E71EFC" w:rsidRPr="00A46CA2">
        <w:rPr>
          <w:rFonts w:cstheme="minorHAnsi"/>
          <w:i/>
          <w:iCs/>
          <w:color w:val="000000"/>
        </w:rPr>
        <w:t>…In my opinion, it follows that marks upon the body of an accused are real, pre-existing evidence exposure of which in the courtroom at the discretion of the presiding judge does not conscript the accused against himself.</w:t>
      </w:r>
      <w:r>
        <w:rPr>
          <w:rFonts w:cstheme="minorHAnsi"/>
          <w:i/>
          <w:iCs/>
          <w:color w:val="000000"/>
        </w:rPr>
        <w:t>”</w:t>
      </w:r>
      <w:r w:rsidR="00E71EFC" w:rsidRPr="00A46CA2">
        <w:rPr>
          <w:rFonts w:cstheme="minorHAnsi"/>
          <w:i/>
          <w:iCs/>
          <w:color w:val="000000"/>
        </w:rPr>
        <w:t> </w:t>
      </w:r>
      <w:proofErr w:type="gramStart"/>
      <w:r w:rsidR="00E71EFC" w:rsidRPr="008F78DC">
        <w:rPr>
          <w:rFonts w:cstheme="minorHAnsi"/>
          <w:b/>
          <w:bCs/>
          <w:i/>
          <w:iCs/>
          <w:color w:val="000000"/>
        </w:rPr>
        <w:t>R</w:t>
      </w:r>
      <w:r>
        <w:rPr>
          <w:rFonts w:cstheme="minorHAnsi"/>
          <w:b/>
          <w:bCs/>
          <w:i/>
          <w:iCs/>
          <w:color w:val="000000"/>
        </w:rPr>
        <w:t xml:space="preserve"> </w:t>
      </w:r>
      <w:r w:rsidR="00E71EFC" w:rsidRPr="008F78DC">
        <w:rPr>
          <w:rFonts w:cstheme="minorHAnsi"/>
          <w:b/>
          <w:bCs/>
          <w:i/>
          <w:iCs/>
          <w:color w:val="000000"/>
        </w:rPr>
        <w:t>.</w:t>
      </w:r>
      <w:proofErr w:type="gramEnd"/>
      <w:r w:rsidR="008F78DC">
        <w:rPr>
          <w:rFonts w:cstheme="minorHAnsi"/>
          <w:b/>
          <w:bCs/>
          <w:i/>
          <w:iCs/>
          <w:color w:val="000000"/>
        </w:rPr>
        <w:t>v.</w:t>
      </w:r>
      <w:r w:rsidR="00E71EFC" w:rsidRPr="008F78DC">
        <w:rPr>
          <w:rFonts w:cstheme="minorHAnsi"/>
          <w:b/>
          <w:bCs/>
          <w:i/>
          <w:iCs/>
          <w:color w:val="000000"/>
        </w:rPr>
        <w:t xml:space="preserve"> Cyr 1997 </w:t>
      </w:r>
      <w:proofErr w:type="spellStart"/>
      <w:r w:rsidR="00E71EFC" w:rsidRPr="008F78DC">
        <w:rPr>
          <w:rFonts w:cstheme="minorHAnsi"/>
          <w:b/>
          <w:bCs/>
          <w:i/>
          <w:iCs/>
          <w:color w:val="000000"/>
        </w:rPr>
        <w:t>CanLII</w:t>
      </w:r>
      <w:proofErr w:type="spellEnd"/>
      <w:r w:rsidR="00E71EFC" w:rsidRPr="008F78DC">
        <w:rPr>
          <w:rFonts w:cstheme="minorHAnsi"/>
          <w:b/>
          <w:bCs/>
          <w:i/>
          <w:iCs/>
          <w:color w:val="000000"/>
        </w:rPr>
        <w:t xml:space="preserve"> 1039 (BCSC)</w:t>
      </w:r>
    </w:p>
    <w:p w14:paraId="743B9492" w14:textId="489F2866" w:rsidR="007F4D13" w:rsidRPr="00A46CA2" w:rsidRDefault="007F326E" w:rsidP="007F4D13">
      <w:pPr>
        <w:pStyle w:val="ListParagraph"/>
        <w:numPr>
          <w:ilvl w:val="0"/>
          <w:numId w:val="8"/>
        </w:numPr>
        <w:rPr>
          <w:rFonts w:cstheme="minorHAnsi"/>
          <w:i/>
          <w:iCs/>
        </w:rPr>
      </w:pPr>
      <w:r>
        <w:rPr>
          <w:rFonts w:cstheme="minorHAnsi"/>
          <w:i/>
          <w:iCs/>
          <w:lang w:val="en-CA"/>
        </w:rPr>
        <w:lastRenderedPageBreak/>
        <w:t>“</w:t>
      </w:r>
      <w:r w:rsidR="007F4D13" w:rsidRPr="00A46CA2">
        <w:rPr>
          <w:rFonts w:cstheme="minorHAnsi"/>
          <w:i/>
          <w:iCs/>
          <w:lang w:val="en-CA"/>
        </w:rPr>
        <w:t>Under the traditional common law rules, absent statutory compulsion, everyone has the right to be silent in the face of police questioning, even if he or she is not detained or arrested.  The right to silence, which is also protected by the </w:t>
      </w:r>
      <w:hyperlink r:id="rId9" w:history="1">
        <w:r w:rsidR="007F4D13" w:rsidRPr="00A46CA2">
          <w:rPr>
            <w:rStyle w:val="Hyperlink"/>
            <w:rFonts w:cstheme="minorHAnsi"/>
            <w:i/>
            <w:iCs/>
            <w:lang w:val="en-CA"/>
          </w:rPr>
          <w:t>Canadian Charter of Rights and Freedoms</w:t>
        </w:r>
      </w:hyperlink>
      <w:r w:rsidR="007F4D13" w:rsidRPr="00A46CA2">
        <w:rPr>
          <w:rFonts w:cstheme="minorHAnsi"/>
          <w:i/>
          <w:iCs/>
          <w:lang w:val="en-CA"/>
        </w:rPr>
        <w:t>, exists at all times against the state, whether or not the person asserting it is within its power or control.  Furthermore, a voluntary interaction with the police, even one initiated by an individual, does not constitute a waiver of the right to silence.  The right to choose whether to speak is retained throughout the interaction.</w:t>
      </w:r>
      <w:r>
        <w:rPr>
          <w:rFonts w:cstheme="minorHAnsi"/>
          <w:i/>
          <w:iCs/>
          <w:lang w:val="en-CA"/>
        </w:rPr>
        <w:t xml:space="preserve">” </w:t>
      </w:r>
      <w:r w:rsidRPr="007F326E">
        <w:rPr>
          <w:rFonts w:cstheme="minorHAnsi"/>
          <w:b/>
          <w:bCs/>
          <w:i/>
          <w:iCs/>
          <w:lang w:val="en-CA"/>
        </w:rPr>
        <w:t>R. v.</w:t>
      </w:r>
      <w:r w:rsidR="007F4D13" w:rsidRPr="007F326E">
        <w:rPr>
          <w:rFonts w:cstheme="minorHAnsi"/>
          <w:b/>
          <w:bCs/>
          <w:i/>
          <w:iCs/>
          <w:lang w:val="en-CA"/>
        </w:rPr>
        <w:t> Turcotte</w:t>
      </w:r>
      <w:r w:rsidR="00E71EFC" w:rsidRPr="007F326E">
        <w:rPr>
          <w:rFonts w:cstheme="minorHAnsi"/>
          <w:b/>
          <w:bCs/>
          <w:i/>
          <w:iCs/>
          <w:lang w:val="en-CA"/>
        </w:rPr>
        <w:t xml:space="preserve"> 2005 SCC 50</w:t>
      </w:r>
    </w:p>
    <w:p w14:paraId="19B04AF3" w14:textId="1759CAF9" w:rsidR="0030143E" w:rsidRPr="00A46CA2" w:rsidRDefault="0030143E" w:rsidP="0030143E">
      <w:pPr>
        <w:numPr>
          <w:ilvl w:val="0"/>
          <w:numId w:val="1"/>
        </w:numPr>
        <w:rPr>
          <w:rFonts w:asciiTheme="minorHAnsi" w:hAnsiTheme="minorHAnsi" w:cstheme="minorHAnsi"/>
          <w:sz w:val="22"/>
          <w:szCs w:val="22"/>
        </w:rPr>
      </w:pPr>
      <w:r w:rsidRPr="00A46CA2">
        <w:rPr>
          <w:rFonts w:asciiTheme="minorHAnsi" w:hAnsiTheme="minorHAnsi" w:cstheme="minorHAnsi"/>
          <w:sz w:val="22"/>
          <w:szCs w:val="22"/>
        </w:rPr>
        <w:t xml:space="preserve">Requirement of Proof Beyond a Reasonable Doubt: </w:t>
      </w:r>
      <w:r w:rsidRPr="00A46CA2">
        <w:rPr>
          <w:rFonts w:asciiTheme="minorHAnsi" w:hAnsiTheme="minorHAnsi" w:cstheme="minorHAnsi"/>
          <w:b/>
          <w:i/>
          <w:sz w:val="22"/>
          <w:szCs w:val="22"/>
        </w:rPr>
        <w:t>(</w:t>
      </w:r>
      <w:proofErr w:type="spellStart"/>
      <w:r w:rsidRPr="00A46CA2">
        <w:rPr>
          <w:rFonts w:asciiTheme="minorHAnsi" w:hAnsiTheme="minorHAnsi" w:cstheme="minorHAnsi"/>
          <w:b/>
          <w:i/>
          <w:sz w:val="22"/>
          <w:szCs w:val="22"/>
        </w:rPr>
        <w:t>Lifchus</w:t>
      </w:r>
      <w:proofErr w:type="spellEnd"/>
      <w:r w:rsidRPr="00A46CA2">
        <w:rPr>
          <w:rFonts w:asciiTheme="minorHAnsi" w:hAnsiTheme="minorHAnsi" w:cstheme="minorHAnsi"/>
          <w:b/>
          <w:i/>
          <w:sz w:val="22"/>
          <w:szCs w:val="22"/>
        </w:rPr>
        <w:t>, J.H.S.)</w:t>
      </w:r>
    </w:p>
    <w:p w14:paraId="6ACC6E06" w14:textId="3FA5C587" w:rsidR="00A46CA2" w:rsidRDefault="00A46CA2" w:rsidP="00A46CA2">
      <w:pPr>
        <w:rPr>
          <w:rFonts w:asciiTheme="minorHAnsi" w:hAnsiTheme="minorHAnsi" w:cstheme="minorHAnsi"/>
          <w:b/>
          <w:i/>
          <w:sz w:val="22"/>
          <w:szCs w:val="22"/>
        </w:rPr>
      </w:pPr>
    </w:p>
    <w:p w14:paraId="5597B4DE" w14:textId="41169778" w:rsidR="00A46CA2" w:rsidRPr="007F326E" w:rsidRDefault="007F326E" w:rsidP="00A46CA2">
      <w:pPr>
        <w:ind w:left="1440"/>
        <w:rPr>
          <w:rFonts w:asciiTheme="minorHAnsi" w:hAnsiTheme="minorHAnsi" w:cstheme="minorHAnsi"/>
          <w:b/>
          <w:bCs/>
          <w:sz w:val="22"/>
          <w:szCs w:val="22"/>
        </w:rPr>
      </w:pPr>
      <w:r>
        <w:rPr>
          <w:rFonts w:asciiTheme="minorHAnsi" w:hAnsiTheme="minorHAnsi" w:cstheme="minorHAnsi"/>
          <w:i/>
          <w:iCs/>
          <w:sz w:val="22"/>
          <w:szCs w:val="22"/>
        </w:rPr>
        <w:t>“…</w:t>
      </w:r>
      <w:r w:rsidR="00A46CA2" w:rsidRPr="00A46CA2">
        <w:rPr>
          <w:rFonts w:asciiTheme="minorHAnsi" w:hAnsiTheme="minorHAnsi" w:cstheme="minorHAnsi"/>
          <w:i/>
          <w:iCs/>
          <w:sz w:val="22"/>
          <w:szCs w:val="22"/>
        </w:rPr>
        <w:t>a reasonable doubt is not an imaginary or frivolous doubt, nor is it based upon sympathy or prejudice.  A reasonable doubt is a doubt based on reason and common sense which must logically be derived from the evidence or absence of evidence. While more is required than proof that the accused is probably guilty, a reasonable doubt does not involve proof to an absolute certainty.  Such a standard of proof is impossibly high</w:t>
      </w:r>
      <w:r w:rsidR="00A46CA2" w:rsidRPr="00A46CA2">
        <w:rPr>
          <w:rFonts w:asciiTheme="minorHAnsi" w:hAnsiTheme="minorHAnsi" w:cstheme="minorHAnsi"/>
          <w:sz w:val="22"/>
          <w:szCs w:val="22"/>
        </w:rPr>
        <w:t>.</w:t>
      </w:r>
      <w:r>
        <w:rPr>
          <w:rFonts w:asciiTheme="minorHAnsi" w:hAnsiTheme="minorHAnsi" w:cstheme="minorHAnsi"/>
          <w:sz w:val="22"/>
          <w:szCs w:val="22"/>
        </w:rPr>
        <w:t>”</w:t>
      </w:r>
      <w:r w:rsidR="00A46CA2" w:rsidRPr="00A46CA2">
        <w:rPr>
          <w:rFonts w:asciiTheme="minorHAnsi" w:hAnsiTheme="minorHAnsi" w:cstheme="minorHAnsi"/>
          <w:sz w:val="22"/>
          <w:szCs w:val="22"/>
        </w:rPr>
        <w:t> </w:t>
      </w:r>
      <w:r w:rsidR="00A46CA2" w:rsidRPr="007F326E">
        <w:rPr>
          <w:rFonts w:asciiTheme="minorHAnsi" w:hAnsiTheme="minorHAnsi" w:cstheme="minorHAnsi"/>
          <w:b/>
          <w:bCs/>
          <w:sz w:val="22"/>
          <w:szCs w:val="22"/>
        </w:rPr>
        <w:t xml:space="preserve">R. v. </w:t>
      </w:r>
      <w:proofErr w:type="spellStart"/>
      <w:r w:rsidR="00A46CA2" w:rsidRPr="007F326E">
        <w:rPr>
          <w:rFonts w:asciiTheme="minorHAnsi" w:hAnsiTheme="minorHAnsi" w:cstheme="minorHAnsi"/>
          <w:b/>
          <w:bCs/>
          <w:sz w:val="22"/>
          <w:szCs w:val="22"/>
        </w:rPr>
        <w:t>Lifchus</w:t>
      </w:r>
      <w:proofErr w:type="spellEnd"/>
      <w:r w:rsidR="00A46CA2" w:rsidRPr="007F326E">
        <w:rPr>
          <w:rFonts w:asciiTheme="minorHAnsi" w:hAnsiTheme="minorHAnsi" w:cstheme="minorHAnsi"/>
          <w:b/>
          <w:bCs/>
          <w:sz w:val="22"/>
          <w:szCs w:val="22"/>
        </w:rPr>
        <w:t xml:space="preserve"> 1997 CanLII 319 (SCC)</w:t>
      </w:r>
    </w:p>
    <w:p w14:paraId="757CDB1D" w14:textId="51EECDD0" w:rsidR="00A46CA2" w:rsidRDefault="00A46CA2" w:rsidP="00A46CA2">
      <w:pPr>
        <w:rPr>
          <w:rFonts w:asciiTheme="minorHAnsi" w:hAnsiTheme="minorHAnsi" w:cstheme="minorHAnsi"/>
          <w:b/>
          <w:i/>
          <w:sz w:val="22"/>
          <w:szCs w:val="22"/>
        </w:rPr>
      </w:pPr>
    </w:p>
    <w:p w14:paraId="65654B63" w14:textId="77777777" w:rsidR="0030143E" w:rsidRPr="00A46CA2" w:rsidRDefault="0030143E" w:rsidP="0030143E">
      <w:pPr>
        <w:rPr>
          <w:rFonts w:asciiTheme="minorHAnsi" w:hAnsiTheme="minorHAnsi" w:cstheme="minorHAnsi"/>
          <w:b/>
          <w:sz w:val="22"/>
          <w:szCs w:val="22"/>
        </w:rPr>
      </w:pPr>
      <w:r w:rsidRPr="00A46CA2">
        <w:rPr>
          <w:rFonts w:asciiTheme="minorHAnsi" w:hAnsiTheme="minorHAnsi" w:cstheme="minorHAnsi"/>
          <w:b/>
          <w:sz w:val="22"/>
          <w:szCs w:val="22"/>
          <w:u w:val="single"/>
        </w:rPr>
        <w:t>WHY</w:t>
      </w:r>
      <w:r w:rsidRPr="00A46CA2">
        <w:rPr>
          <w:rFonts w:asciiTheme="minorHAnsi" w:hAnsiTheme="minorHAnsi" w:cstheme="minorHAnsi"/>
          <w:b/>
          <w:sz w:val="22"/>
          <w:szCs w:val="22"/>
        </w:rPr>
        <w:t xml:space="preserve"> is Evidence Required?</w:t>
      </w:r>
    </w:p>
    <w:p w14:paraId="721419A4" w14:textId="3075B266" w:rsidR="00E71EFC" w:rsidRPr="00A46CA2" w:rsidRDefault="0030143E" w:rsidP="00E71EFC">
      <w:pPr>
        <w:numPr>
          <w:ilvl w:val="0"/>
          <w:numId w:val="4"/>
        </w:numPr>
        <w:rPr>
          <w:rFonts w:asciiTheme="minorHAnsi" w:hAnsiTheme="minorHAnsi" w:cstheme="minorHAnsi"/>
          <w:sz w:val="22"/>
          <w:szCs w:val="22"/>
        </w:rPr>
      </w:pPr>
      <w:r w:rsidRPr="00A46CA2">
        <w:rPr>
          <w:rFonts w:asciiTheme="minorHAnsi" w:hAnsiTheme="minorHAnsi" w:cstheme="minorHAnsi"/>
          <w:sz w:val="22"/>
          <w:szCs w:val="22"/>
        </w:rPr>
        <w:t>Why do we have trials? (</w:t>
      </w:r>
      <w:r w:rsidRPr="00A46CA2">
        <w:rPr>
          <w:rFonts w:asciiTheme="minorHAnsi" w:hAnsiTheme="minorHAnsi" w:cstheme="minorHAnsi"/>
          <w:b/>
          <w:bCs/>
          <w:sz w:val="22"/>
          <w:szCs w:val="22"/>
        </w:rPr>
        <w:t>The Big Three</w:t>
      </w:r>
      <w:r w:rsidRPr="00A46CA2">
        <w:rPr>
          <w:rFonts w:asciiTheme="minorHAnsi" w:hAnsiTheme="minorHAnsi" w:cstheme="minorHAnsi"/>
          <w:sz w:val="22"/>
          <w:szCs w:val="22"/>
        </w:rPr>
        <w:t xml:space="preserve">, </w:t>
      </w:r>
      <w:r w:rsidRPr="00A46CA2">
        <w:rPr>
          <w:rFonts w:asciiTheme="minorHAnsi" w:hAnsiTheme="minorHAnsi" w:cstheme="minorHAnsi"/>
          <w:b/>
          <w:bCs/>
          <w:i/>
          <w:iCs/>
          <w:sz w:val="22"/>
          <w:szCs w:val="22"/>
        </w:rPr>
        <w:t>Lyttle</w:t>
      </w:r>
      <w:r w:rsidRPr="00A46CA2">
        <w:rPr>
          <w:rFonts w:asciiTheme="minorHAnsi" w:hAnsiTheme="minorHAnsi" w:cstheme="minorHAnsi"/>
          <w:sz w:val="22"/>
          <w:szCs w:val="22"/>
        </w:rPr>
        <w:t xml:space="preserve">) </w:t>
      </w:r>
    </w:p>
    <w:p w14:paraId="2E49B7EA" w14:textId="66F86B4C" w:rsidR="00E71EFC" w:rsidRPr="00A46CA2" w:rsidRDefault="00E71EFC" w:rsidP="00E71EFC">
      <w:pPr>
        <w:rPr>
          <w:rFonts w:asciiTheme="minorHAnsi" w:hAnsiTheme="minorHAnsi" w:cstheme="minorHAnsi"/>
          <w:sz w:val="22"/>
          <w:szCs w:val="22"/>
        </w:rPr>
      </w:pPr>
    </w:p>
    <w:p w14:paraId="63392956" w14:textId="343343FC" w:rsidR="00E71EFC" w:rsidRPr="00A46CA2" w:rsidRDefault="00E71EFC" w:rsidP="00E71EFC">
      <w:pPr>
        <w:pStyle w:val="ListParagraph"/>
        <w:ind w:left="1440"/>
        <w:rPr>
          <w:rFonts w:cstheme="minorHAnsi"/>
        </w:rPr>
      </w:pPr>
      <w:r w:rsidRPr="00A46CA2">
        <w:rPr>
          <w:rFonts w:cstheme="minorHAnsi"/>
        </w:rPr>
        <w:t>This is not obvious, but the purpose of a trial is to determine whether someone is to be held responsible for their actions</w:t>
      </w:r>
      <w:r w:rsidR="00AA6214" w:rsidRPr="00A46CA2">
        <w:rPr>
          <w:rFonts w:cstheme="minorHAnsi"/>
        </w:rPr>
        <w:t>, and the extent of that responsibility</w:t>
      </w:r>
      <w:r w:rsidRPr="00A46CA2">
        <w:rPr>
          <w:rFonts w:cstheme="minorHAnsi"/>
        </w:rPr>
        <w:t xml:space="preserve">. Indeed, almost all tribunals, whatever the issue being considered, are focused on a determination of responsibility. </w:t>
      </w:r>
      <w:r w:rsidR="00E420C5">
        <w:rPr>
          <w:rFonts w:cstheme="minorHAnsi"/>
        </w:rPr>
        <w:t>Who did what and should there be a consequence?</w:t>
      </w:r>
    </w:p>
    <w:p w14:paraId="342DA0F1" w14:textId="77777777" w:rsidR="00AA6214" w:rsidRPr="00A46CA2" w:rsidRDefault="00AA6214" w:rsidP="00E71EFC">
      <w:pPr>
        <w:pStyle w:val="ListParagraph"/>
        <w:ind w:left="1440"/>
        <w:rPr>
          <w:rFonts w:cstheme="minorHAnsi"/>
        </w:rPr>
      </w:pPr>
    </w:p>
    <w:p w14:paraId="36D463CB" w14:textId="56461243" w:rsidR="00AA6214" w:rsidRPr="00A46CA2" w:rsidRDefault="00AA6214" w:rsidP="00E71EFC">
      <w:pPr>
        <w:pStyle w:val="ListParagraph"/>
        <w:ind w:left="1440"/>
        <w:rPr>
          <w:rFonts w:cstheme="minorHAnsi"/>
        </w:rPr>
      </w:pPr>
      <w:proofErr w:type="gramStart"/>
      <w:r w:rsidRPr="00A46CA2">
        <w:rPr>
          <w:rFonts w:cstheme="minorHAnsi"/>
        </w:rPr>
        <w:t>In order to</w:t>
      </w:r>
      <w:proofErr w:type="gramEnd"/>
      <w:r w:rsidRPr="00A46CA2">
        <w:rPr>
          <w:rFonts w:cstheme="minorHAnsi"/>
        </w:rPr>
        <w:t xml:space="preserve"> make that determination, a tribunal must consider evidence and apply law. Evidence is necessary to decide on the facts. </w:t>
      </w:r>
      <w:r w:rsidR="00E420C5">
        <w:rPr>
          <w:rFonts w:cstheme="minorHAnsi"/>
        </w:rPr>
        <w:t xml:space="preserve">Finding facts is a truth-seeking exercise, though the overall truth as to the circumstances and causes of an event may not be determined. </w:t>
      </w:r>
    </w:p>
    <w:p w14:paraId="43DED2E7" w14:textId="564DB9D0" w:rsidR="00AA6214" w:rsidRPr="00A46CA2" w:rsidRDefault="00AA6214" w:rsidP="00E71EFC">
      <w:pPr>
        <w:pStyle w:val="ListParagraph"/>
        <w:ind w:left="1440"/>
        <w:rPr>
          <w:rFonts w:cstheme="minorHAnsi"/>
        </w:rPr>
      </w:pPr>
    </w:p>
    <w:p w14:paraId="7EDE4EDA" w14:textId="7ADF90F7" w:rsidR="00AA6214" w:rsidRPr="00A46CA2" w:rsidRDefault="00AA6214" w:rsidP="00AA6214">
      <w:pPr>
        <w:pStyle w:val="ListParagraph"/>
        <w:ind w:left="1440"/>
        <w:rPr>
          <w:rFonts w:cstheme="minorHAnsi"/>
        </w:rPr>
      </w:pPr>
      <w:r w:rsidRPr="00A46CA2">
        <w:rPr>
          <w:rFonts w:cstheme="minorHAnsi"/>
        </w:rPr>
        <w:t xml:space="preserve">It is necessary to assess the evidence and that assessment results from the examination of the evidence. </w:t>
      </w:r>
      <w:r w:rsidR="00E420C5">
        <w:rPr>
          <w:rFonts w:cstheme="minorHAnsi"/>
        </w:rPr>
        <w:t>An assessment is an evaluation of the evidence. This is achieved in large part by the adversarial process.</w:t>
      </w:r>
    </w:p>
    <w:p w14:paraId="65BBC784" w14:textId="6FE1F33C" w:rsidR="00AA6214" w:rsidRPr="00A46CA2" w:rsidRDefault="00AA6214" w:rsidP="00E71EFC">
      <w:pPr>
        <w:pStyle w:val="ListParagraph"/>
        <w:ind w:left="1440"/>
        <w:rPr>
          <w:rFonts w:cstheme="minorHAnsi"/>
        </w:rPr>
      </w:pPr>
    </w:p>
    <w:p w14:paraId="042F165D" w14:textId="23D81E48" w:rsidR="00AA6214" w:rsidRPr="00AA6214" w:rsidRDefault="007F326E" w:rsidP="00AA6214">
      <w:pPr>
        <w:pStyle w:val="ListParagraph"/>
        <w:ind w:left="1440"/>
        <w:rPr>
          <w:rFonts w:cstheme="minorHAnsi"/>
          <w:i/>
          <w:iCs/>
        </w:rPr>
      </w:pPr>
      <w:r>
        <w:rPr>
          <w:rFonts w:cstheme="minorHAnsi"/>
          <w:i/>
          <w:iCs/>
        </w:rPr>
        <w:t>“</w:t>
      </w:r>
      <w:r w:rsidR="00AA6214" w:rsidRPr="00AA6214">
        <w:rPr>
          <w:rFonts w:cstheme="minorHAnsi"/>
          <w:i/>
          <w:iCs/>
        </w:rPr>
        <w:t xml:space="preserve">As mentioned at the outset, the right of an accused to cross-examine prosecution witnesses without significant and unwarranted constraint is an essential component of the right to make a full answer and </w:t>
      </w:r>
      <w:proofErr w:type="spellStart"/>
      <w:r w:rsidR="00AA6214" w:rsidRPr="00AA6214">
        <w:rPr>
          <w:rFonts w:cstheme="minorHAnsi"/>
          <w:i/>
          <w:iCs/>
        </w:rPr>
        <w:t>defence</w:t>
      </w:r>
      <w:proofErr w:type="spellEnd"/>
      <w:r w:rsidR="00AA6214" w:rsidRPr="00AA6214">
        <w:rPr>
          <w:rFonts w:cstheme="minorHAnsi"/>
          <w:i/>
          <w:iCs/>
        </w:rPr>
        <w:t xml:space="preserve">.  See R. v. </w:t>
      </w:r>
      <w:proofErr w:type="spellStart"/>
      <w:r w:rsidR="00AA6214" w:rsidRPr="00AA6214">
        <w:rPr>
          <w:rFonts w:cstheme="minorHAnsi"/>
          <w:i/>
          <w:iCs/>
        </w:rPr>
        <w:t>Seaboyer</w:t>
      </w:r>
      <w:proofErr w:type="spellEnd"/>
      <w:r w:rsidR="00AA6214" w:rsidRPr="00AA6214">
        <w:rPr>
          <w:rFonts w:cstheme="minorHAnsi"/>
          <w:i/>
          <w:iCs/>
        </w:rPr>
        <w:t>, </w:t>
      </w:r>
      <w:hyperlink r:id="rId10" w:history="1">
        <w:r w:rsidR="00AA6214" w:rsidRPr="00AA6214">
          <w:rPr>
            <w:rStyle w:val="Hyperlink"/>
            <w:rFonts w:cstheme="minorHAnsi"/>
            <w:i/>
            <w:iCs/>
          </w:rPr>
          <w:t xml:space="preserve">1991 </w:t>
        </w:r>
        <w:proofErr w:type="spellStart"/>
        <w:r w:rsidR="00AA6214" w:rsidRPr="00AA6214">
          <w:rPr>
            <w:rStyle w:val="Hyperlink"/>
            <w:rFonts w:cstheme="minorHAnsi"/>
            <w:i/>
            <w:iCs/>
          </w:rPr>
          <w:t>CanLII</w:t>
        </w:r>
        <w:proofErr w:type="spellEnd"/>
        <w:r w:rsidR="00AA6214" w:rsidRPr="00AA6214">
          <w:rPr>
            <w:rStyle w:val="Hyperlink"/>
            <w:rFonts w:cstheme="minorHAnsi"/>
            <w:i/>
            <w:iCs/>
          </w:rPr>
          <w:t xml:space="preserve"> 76 (SCC)</w:t>
        </w:r>
      </w:hyperlink>
      <w:r w:rsidR="00AA6214" w:rsidRPr="00AA6214">
        <w:rPr>
          <w:rFonts w:cstheme="minorHAnsi"/>
          <w:i/>
          <w:iCs/>
        </w:rPr>
        <w:t>, [1991] 2 S.C.R. 577, at p. 608, per McLachlin J. (as she then was):</w:t>
      </w:r>
    </w:p>
    <w:p w14:paraId="1D799068" w14:textId="77777777" w:rsidR="00AA6214" w:rsidRPr="00AA6214" w:rsidRDefault="00AA6214" w:rsidP="00AA6214">
      <w:pPr>
        <w:pStyle w:val="ListParagraph"/>
        <w:ind w:left="1440"/>
        <w:rPr>
          <w:rFonts w:cstheme="minorHAnsi"/>
          <w:i/>
          <w:iCs/>
        </w:rPr>
      </w:pPr>
      <w:r w:rsidRPr="00AA6214">
        <w:rPr>
          <w:rFonts w:cstheme="minorHAnsi"/>
          <w:i/>
          <w:iCs/>
        </w:rPr>
        <w:t> </w:t>
      </w:r>
    </w:p>
    <w:p w14:paraId="51EF0DB2" w14:textId="1537222D" w:rsidR="00AA6214" w:rsidRPr="00A46CA2" w:rsidRDefault="00AA6214" w:rsidP="00AA6214">
      <w:pPr>
        <w:pStyle w:val="ListParagraph"/>
        <w:ind w:left="2160"/>
        <w:rPr>
          <w:rFonts w:cstheme="minorHAnsi"/>
          <w:i/>
          <w:iCs/>
        </w:rPr>
      </w:pPr>
      <w:r w:rsidRPr="00AA6214">
        <w:rPr>
          <w:rFonts w:cstheme="minorHAnsi"/>
          <w:i/>
          <w:iCs/>
        </w:rPr>
        <w:t xml:space="preserve">The right of the innocent not to be convicted is dependent on the right to present full answer and </w:t>
      </w:r>
      <w:proofErr w:type="spellStart"/>
      <w:r w:rsidRPr="00AA6214">
        <w:rPr>
          <w:rFonts w:cstheme="minorHAnsi"/>
          <w:i/>
          <w:iCs/>
        </w:rPr>
        <w:t>defence</w:t>
      </w:r>
      <w:proofErr w:type="spellEnd"/>
      <w:r w:rsidRPr="00AA6214">
        <w:rPr>
          <w:rFonts w:cstheme="minorHAnsi"/>
          <w:i/>
          <w:iCs/>
        </w:rPr>
        <w:t xml:space="preserve">.  This, in turn, depends on being able to call the evidence necessary to establish a </w:t>
      </w:r>
      <w:proofErr w:type="spellStart"/>
      <w:r w:rsidRPr="00AA6214">
        <w:rPr>
          <w:rFonts w:cstheme="minorHAnsi"/>
          <w:i/>
          <w:iCs/>
        </w:rPr>
        <w:t>defence</w:t>
      </w:r>
      <w:proofErr w:type="spellEnd"/>
      <w:r w:rsidRPr="00AA6214">
        <w:rPr>
          <w:rFonts w:cstheme="minorHAnsi"/>
          <w:i/>
          <w:iCs/>
        </w:rPr>
        <w:t xml:space="preserve"> and </w:t>
      </w:r>
      <w:r w:rsidRPr="00AA6214">
        <w:rPr>
          <w:rFonts w:cstheme="minorHAnsi"/>
          <w:i/>
          <w:iCs/>
          <w:u w:val="single"/>
        </w:rPr>
        <w:t xml:space="preserve">to challenge the evidence called by the </w:t>
      </w:r>
      <w:r w:rsidRPr="00AA6214">
        <w:rPr>
          <w:rFonts w:cstheme="minorHAnsi"/>
          <w:i/>
          <w:iCs/>
          <w:u w:val="single"/>
        </w:rPr>
        <w:lastRenderedPageBreak/>
        <w:t>prosecution</w:t>
      </w:r>
      <w:proofErr w:type="gramStart"/>
      <w:r w:rsidRPr="00AA6214">
        <w:rPr>
          <w:rFonts w:cstheme="minorHAnsi"/>
          <w:i/>
          <w:iCs/>
        </w:rPr>
        <w:t>. . . .</w:t>
      </w:r>
      <w:proofErr w:type="gramEnd"/>
      <w:r w:rsidRPr="00AA6214">
        <w:rPr>
          <w:rFonts w:cstheme="minorHAnsi"/>
          <w:i/>
          <w:iCs/>
        </w:rPr>
        <w:t xml:space="preserve"> In short, the denial of the right to call and </w:t>
      </w:r>
      <w:r w:rsidRPr="00AA6214">
        <w:rPr>
          <w:rFonts w:cstheme="minorHAnsi"/>
          <w:i/>
          <w:iCs/>
          <w:u w:val="single"/>
        </w:rPr>
        <w:t>challenge evidence</w:t>
      </w:r>
      <w:r w:rsidRPr="00AA6214">
        <w:rPr>
          <w:rFonts w:cstheme="minorHAnsi"/>
          <w:i/>
          <w:iCs/>
        </w:rPr>
        <w:t xml:space="preserve"> is tantamount to the denial of the right to rely on a </w:t>
      </w:r>
      <w:proofErr w:type="spellStart"/>
      <w:r w:rsidRPr="00AA6214">
        <w:rPr>
          <w:rFonts w:cstheme="minorHAnsi"/>
          <w:i/>
          <w:iCs/>
        </w:rPr>
        <w:t>defence</w:t>
      </w:r>
      <w:proofErr w:type="spellEnd"/>
      <w:r w:rsidRPr="00AA6214">
        <w:rPr>
          <w:rFonts w:cstheme="minorHAnsi"/>
          <w:i/>
          <w:iCs/>
        </w:rPr>
        <w:t xml:space="preserve"> to which the law says one is entitled.</w:t>
      </w:r>
      <w:r w:rsidR="007F326E">
        <w:rPr>
          <w:rFonts w:cstheme="minorHAnsi"/>
          <w:i/>
          <w:iCs/>
        </w:rPr>
        <w:t>”</w:t>
      </w:r>
      <w:r w:rsidRPr="00AA6214">
        <w:rPr>
          <w:rFonts w:cstheme="minorHAnsi"/>
          <w:i/>
          <w:iCs/>
        </w:rPr>
        <w:t> </w:t>
      </w:r>
    </w:p>
    <w:p w14:paraId="5BA5961C" w14:textId="615D4363" w:rsidR="00AA6214" w:rsidRPr="007F326E" w:rsidRDefault="00AA6214" w:rsidP="00AA6214">
      <w:pPr>
        <w:ind w:left="720" w:firstLine="720"/>
        <w:rPr>
          <w:rFonts w:asciiTheme="minorHAnsi" w:eastAsiaTheme="minorHAnsi" w:hAnsiTheme="minorHAnsi" w:cstheme="minorHAnsi"/>
          <w:b/>
          <w:bCs/>
          <w:i/>
          <w:iCs/>
          <w:sz w:val="22"/>
          <w:szCs w:val="22"/>
          <w:lang w:val="en-US" w:eastAsia="en-US"/>
        </w:rPr>
      </w:pPr>
      <w:r w:rsidRPr="007F326E">
        <w:rPr>
          <w:rFonts w:asciiTheme="minorHAnsi" w:hAnsiTheme="minorHAnsi" w:cstheme="minorHAnsi"/>
          <w:b/>
          <w:bCs/>
          <w:i/>
          <w:iCs/>
          <w:sz w:val="22"/>
          <w:szCs w:val="22"/>
        </w:rPr>
        <w:t>R. v. Lyttle 2004 SCC 5 (CanLII)</w:t>
      </w:r>
    </w:p>
    <w:p w14:paraId="4A3D2E4C" w14:textId="77777777" w:rsidR="00AA6214" w:rsidRPr="00A46CA2" w:rsidRDefault="00AA6214" w:rsidP="00E71EFC">
      <w:pPr>
        <w:pStyle w:val="ListParagraph"/>
        <w:ind w:left="1440"/>
        <w:rPr>
          <w:rFonts w:cstheme="minorHAnsi"/>
        </w:rPr>
      </w:pPr>
    </w:p>
    <w:p w14:paraId="6E3CF6EA" w14:textId="203D5B3A" w:rsidR="0030143E" w:rsidRPr="00A46CA2" w:rsidRDefault="0030143E" w:rsidP="0030143E">
      <w:pPr>
        <w:numPr>
          <w:ilvl w:val="0"/>
          <w:numId w:val="4"/>
        </w:numPr>
        <w:rPr>
          <w:rFonts w:asciiTheme="minorHAnsi" w:hAnsiTheme="minorHAnsi" w:cstheme="minorHAnsi"/>
          <w:sz w:val="22"/>
          <w:szCs w:val="22"/>
        </w:rPr>
      </w:pPr>
      <w:r w:rsidRPr="00A46CA2">
        <w:rPr>
          <w:rFonts w:asciiTheme="minorHAnsi" w:hAnsiTheme="minorHAnsi" w:cstheme="minorHAnsi"/>
          <w:sz w:val="22"/>
          <w:szCs w:val="22"/>
        </w:rPr>
        <w:t xml:space="preserve">Role of the trier of fact </w:t>
      </w:r>
      <w:r w:rsidRPr="00A46CA2">
        <w:rPr>
          <w:rFonts w:asciiTheme="minorHAnsi" w:hAnsiTheme="minorHAnsi" w:cstheme="minorHAnsi"/>
          <w:i/>
          <w:iCs/>
          <w:sz w:val="22"/>
          <w:szCs w:val="22"/>
        </w:rPr>
        <w:t>versus</w:t>
      </w:r>
      <w:r w:rsidRPr="00A46CA2">
        <w:rPr>
          <w:rFonts w:asciiTheme="minorHAnsi" w:hAnsiTheme="minorHAnsi" w:cstheme="minorHAnsi"/>
          <w:sz w:val="22"/>
          <w:szCs w:val="22"/>
        </w:rPr>
        <w:t xml:space="preserve"> trier of law</w:t>
      </w:r>
      <w:r w:rsidR="00E420C5">
        <w:rPr>
          <w:rFonts w:asciiTheme="minorHAnsi" w:hAnsiTheme="minorHAnsi" w:cstheme="minorHAnsi"/>
          <w:sz w:val="22"/>
          <w:szCs w:val="22"/>
        </w:rPr>
        <w:t>. Admissibility of evidence is for the trier of law, while evaluation of evidence is for the trier of fact.</w:t>
      </w:r>
      <w:r w:rsidRPr="00A46CA2">
        <w:rPr>
          <w:rFonts w:asciiTheme="minorHAnsi" w:hAnsiTheme="minorHAnsi" w:cstheme="minorHAnsi"/>
          <w:sz w:val="22"/>
          <w:szCs w:val="22"/>
        </w:rPr>
        <w:t xml:space="preserve"> (</w:t>
      </w:r>
      <w:r w:rsidRPr="00A46CA2">
        <w:rPr>
          <w:rFonts w:asciiTheme="minorHAnsi" w:hAnsiTheme="minorHAnsi" w:cstheme="minorHAnsi"/>
          <w:b/>
          <w:bCs/>
          <w:i/>
          <w:iCs/>
          <w:sz w:val="22"/>
          <w:szCs w:val="22"/>
        </w:rPr>
        <w:t>Kehler</w:t>
      </w:r>
      <w:r w:rsidRPr="00A46CA2">
        <w:rPr>
          <w:rFonts w:asciiTheme="minorHAnsi" w:hAnsiTheme="minorHAnsi" w:cstheme="minorHAnsi"/>
          <w:sz w:val="22"/>
          <w:szCs w:val="22"/>
        </w:rPr>
        <w:t>)</w:t>
      </w:r>
    </w:p>
    <w:p w14:paraId="52F77250" w14:textId="79E943E5" w:rsidR="00AA6214" w:rsidRPr="00A46CA2" w:rsidRDefault="00AA6214" w:rsidP="00AA6214">
      <w:pPr>
        <w:rPr>
          <w:rFonts w:asciiTheme="minorHAnsi" w:hAnsiTheme="minorHAnsi" w:cstheme="minorHAnsi"/>
          <w:sz w:val="22"/>
          <w:szCs w:val="22"/>
        </w:rPr>
      </w:pPr>
    </w:p>
    <w:p w14:paraId="33D95A88" w14:textId="1E0B3FC7" w:rsidR="0030143E" w:rsidRPr="00E420C5" w:rsidRDefault="007F326E" w:rsidP="00AA6214">
      <w:pPr>
        <w:ind w:left="1440"/>
        <w:rPr>
          <w:rFonts w:asciiTheme="minorHAnsi" w:hAnsiTheme="minorHAnsi" w:cstheme="minorHAnsi"/>
          <w:b/>
          <w:sz w:val="22"/>
          <w:szCs w:val="22"/>
          <w:u w:val="single"/>
        </w:rPr>
      </w:pPr>
      <w:r>
        <w:rPr>
          <w:rFonts w:asciiTheme="minorHAnsi" w:hAnsiTheme="minorHAnsi" w:cstheme="minorHAnsi"/>
          <w:bCs/>
          <w:i/>
          <w:iCs/>
          <w:sz w:val="22"/>
          <w:szCs w:val="22"/>
        </w:rPr>
        <w:t>“</w:t>
      </w:r>
      <w:r w:rsidR="00AA6214" w:rsidRPr="00A46CA2">
        <w:rPr>
          <w:rFonts w:asciiTheme="minorHAnsi" w:hAnsiTheme="minorHAnsi" w:cstheme="minorHAnsi"/>
          <w:bCs/>
          <w:i/>
          <w:iCs/>
          <w:sz w:val="22"/>
          <w:szCs w:val="22"/>
        </w:rPr>
        <w:t>The trial judge instructed himself in accordance with </w:t>
      </w:r>
      <w:proofErr w:type="spellStart"/>
      <w:r w:rsidR="00AA6214" w:rsidRPr="00A46CA2">
        <w:rPr>
          <w:rFonts w:asciiTheme="minorHAnsi" w:hAnsiTheme="minorHAnsi" w:cstheme="minorHAnsi"/>
          <w:bCs/>
          <w:i/>
          <w:iCs/>
          <w:sz w:val="22"/>
          <w:szCs w:val="22"/>
        </w:rPr>
        <w:t>Vetrovec</w:t>
      </w:r>
      <w:proofErr w:type="spellEnd"/>
      <w:r w:rsidR="00AA6214" w:rsidRPr="00A46CA2">
        <w:rPr>
          <w:rFonts w:asciiTheme="minorHAnsi" w:hAnsiTheme="minorHAnsi" w:cstheme="minorHAnsi"/>
          <w:bCs/>
          <w:i/>
          <w:iCs/>
          <w:sz w:val="22"/>
          <w:szCs w:val="22"/>
        </w:rPr>
        <w:t>. While confirmatory evidence should be capable of restoring the trier’s faith in relevant aspects of the witness’s account, “relevant” should not be equated with “disputed”.  The independent evidence does not have to implicate the accused.  There is no separate rule in this regard for cases where the only evidence of the accused’s participation in the offence is that of a tainted witness.  Triers of fact will not lightly accept unsupported assertions by a disreputable witness where nothing but his or her word implicates the accused in the commission of the crime charged.  Where a particular risk attaches to one critical element of that evidence, the trier of fact must be satisfied that the witness’s potentially unreliable evidence can be relied upon as truthful in that regard.  Having considered the totality of the evidence, the trier of fact is entitled to believe the evidence of the disreputable witness — even on disputed facts that are not otherwise confirmed — if the trier is satisfied that the witness, despite his or her shortcomings, is truthful.</w:t>
      </w:r>
      <w:r>
        <w:rPr>
          <w:rFonts w:asciiTheme="minorHAnsi" w:hAnsiTheme="minorHAnsi" w:cstheme="minorHAnsi"/>
          <w:bCs/>
          <w:i/>
          <w:iCs/>
          <w:sz w:val="22"/>
          <w:szCs w:val="22"/>
        </w:rPr>
        <w:t>”</w:t>
      </w:r>
      <w:r w:rsidR="00AA6214" w:rsidRPr="00A46CA2">
        <w:rPr>
          <w:rFonts w:asciiTheme="minorHAnsi" w:hAnsiTheme="minorHAnsi" w:cstheme="minorHAnsi"/>
          <w:bCs/>
          <w:i/>
          <w:iCs/>
          <w:sz w:val="22"/>
          <w:szCs w:val="22"/>
        </w:rPr>
        <w:t> </w:t>
      </w:r>
      <w:r w:rsidR="00AA6214" w:rsidRPr="00E420C5">
        <w:rPr>
          <w:rFonts w:asciiTheme="minorHAnsi" w:hAnsiTheme="minorHAnsi" w:cstheme="minorHAnsi"/>
          <w:b/>
          <w:i/>
          <w:iCs/>
          <w:sz w:val="22"/>
          <w:szCs w:val="22"/>
        </w:rPr>
        <w:t>R. v. Kehler 2004 SCC 11 (CanLII)</w:t>
      </w:r>
      <w:r w:rsidR="00AA6214" w:rsidRPr="00E420C5">
        <w:rPr>
          <w:rFonts w:asciiTheme="minorHAnsi" w:hAnsiTheme="minorHAnsi" w:cstheme="minorHAnsi"/>
          <w:b/>
          <w:sz w:val="22"/>
          <w:szCs w:val="22"/>
          <w:u w:val="single"/>
        </w:rPr>
        <w:t> </w:t>
      </w:r>
    </w:p>
    <w:p w14:paraId="32376E80" w14:textId="77777777" w:rsidR="00AA6214" w:rsidRPr="00A46CA2" w:rsidRDefault="00AA6214" w:rsidP="0030143E">
      <w:pPr>
        <w:rPr>
          <w:rFonts w:asciiTheme="minorHAnsi" w:hAnsiTheme="minorHAnsi" w:cstheme="minorHAnsi"/>
          <w:b/>
          <w:sz w:val="22"/>
          <w:szCs w:val="22"/>
          <w:u w:val="single"/>
        </w:rPr>
      </w:pPr>
    </w:p>
    <w:p w14:paraId="3472E00F" w14:textId="5E42D3B2" w:rsidR="0030143E" w:rsidRPr="00A46CA2" w:rsidRDefault="0030143E" w:rsidP="0030143E">
      <w:pPr>
        <w:rPr>
          <w:rFonts w:asciiTheme="minorHAnsi" w:hAnsiTheme="minorHAnsi" w:cstheme="minorHAnsi"/>
          <w:b/>
          <w:sz w:val="22"/>
          <w:szCs w:val="22"/>
        </w:rPr>
      </w:pPr>
      <w:r w:rsidRPr="00A46CA2">
        <w:rPr>
          <w:rFonts w:asciiTheme="minorHAnsi" w:hAnsiTheme="minorHAnsi" w:cstheme="minorHAnsi"/>
          <w:b/>
          <w:sz w:val="22"/>
          <w:szCs w:val="22"/>
          <w:u w:val="single"/>
        </w:rPr>
        <w:t>WHAT</w:t>
      </w:r>
      <w:r w:rsidRPr="00A46CA2">
        <w:rPr>
          <w:rFonts w:asciiTheme="minorHAnsi" w:hAnsiTheme="minorHAnsi" w:cstheme="minorHAnsi"/>
          <w:b/>
          <w:sz w:val="22"/>
          <w:szCs w:val="22"/>
        </w:rPr>
        <w:t xml:space="preserve"> is Evidence?</w:t>
      </w:r>
    </w:p>
    <w:p w14:paraId="360A7252" w14:textId="605EDD58" w:rsidR="0030143E" w:rsidRPr="00A46CA2" w:rsidRDefault="0030143E" w:rsidP="0030143E">
      <w:pPr>
        <w:numPr>
          <w:ilvl w:val="0"/>
          <w:numId w:val="3"/>
        </w:numPr>
        <w:rPr>
          <w:rFonts w:asciiTheme="minorHAnsi" w:hAnsiTheme="minorHAnsi" w:cstheme="minorHAnsi"/>
          <w:sz w:val="22"/>
          <w:szCs w:val="22"/>
        </w:rPr>
      </w:pPr>
      <w:r w:rsidRPr="00A46CA2">
        <w:rPr>
          <w:rFonts w:asciiTheme="minorHAnsi" w:hAnsiTheme="minorHAnsi" w:cstheme="minorHAnsi"/>
          <w:sz w:val="22"/>
          <w:szCs w:val="22"/>
        </w:rPr>
        <w:t xml:space="preserve">That which </w:t>
      </w:r>
      <w:r w:rsidRPr="00A46CA2">
        <w:rPr>
          <w:rFonts w:asciiTheme="minorHAnsi" w:hAnsiTheme="minorHAnsi" w:cstheme="minorHAnsi"/>
          <w:i/>
          <w:iCs/>
          <w:sz w:val="22"/>
          <w:szCs w:val="22"/>
        </w:rPr>
        <w:t>matters</w:t>
      </w:r>
      <w:r w:rsidRPr="00A46CA2">
        <w:rPr>
          <w:rFonts w:asciiTheme="minorHAnsi" w:hAnsiTheme="minorHAnsi" w:cstheme="minorHAnsi"/>
          <w:sz w:val="22"/>
          <w:szCs w:val="22"/>
        </w:rPr>
        <w:t xml:space="preserve"> to the result (decision, including verdict or sentence)</w:t>
      </w:r>
    </w:p>
    <w:p w14:paraId="325E5BCD" w14:textId="68F49FBC" w:rsidR="00AA6214" w:rsidRPr="00A46CA2" w:rsidRDefault="00AA6214" w:rsidP="00AA6214">
      <w:pPr>
        <w:rPr>
          <w:rFonts w:asciiTheme="minorHAnsi" w:hAnsiTheme="minorHAnsi" w:cstheme="minorHAnsi"/>
          <w:sz w:val="22"/>
          <w:szCs w:val="22"/>
        </w:rPr>
      </w:pPr>
    </w:p>
    <w:p w14:paraId="0BA0EE74" w14:textId="02EC77FD" w:rsidR="00AA6214" w:rsidRPr="00A46CA2" w:rsidRDefault="00AA6214" w:rsidP="00AA6214">
      <w:pPr>
        <w:ind w:left="1440"/>
        <w:rPr>
          <w:rFonts w:asciiTheme="minorHAnsi" w:hAnsiTheme="minorHAnsi" w:cstheme="minorHAnsi"/>
          <w:sz w:val="22"/>
          <w:szCs w:val="22"/>
        </w:rPr>
      </w:pPr>
      <w:r w:rsidRPr="00A46CA2">
        <w:rPr>
          <w:rFonts w:asciiTheme="minorHAnsi" w:hAnsiTheme="minorHAnsi" w:cstheme="minorHAnsi"/>
          <w:sz w:val="22"/>
          <w:szCs w:val="22"/>
        </w:rPr>
        <w:t>Evidence is what is considered by a decision-maker in arriving at facts upon which to base the decision</w:t>
      </w:r>
    </w:p>
    <w:p w14:paraId="44C3E6EC" w14:textId="2A7EC68D" w:rsidR="00AA6214" w:rsidRPr="00A46CA2" w:rsidRDefault="00AA6214" w:rsidP="00AA6214">
      <w:pPr>
        <w:ind w:left="1440"/>
        <w:rPr>
          <w:rFonts w:asciiTheme="minorHAnsi" w:hAnsiTheme="minorHAnsi" w:cstheme="minorHAnsi"/>
          <w:sz w:val="22"/>
          <w:szCs w:val="22"/>
        </w:rPr>
      </w:pPr>
    </w:p>
    <w:p w14:paraId="5C93DF65" w14:textId="392CE593" w:rsidR="00AA6214" w:rsidRPr="00A46CA2" w:rsidRDefault="00AA6214" w:rsidP="00AA6214">
      <w:pPr>
        <w:ind w:left="1440"/>
        <w:rPr>
          <w:rFonts w:asciiTheme="minorHAnsi" w:hAnsiTheme="minorHAnsi" w:cstheme="minorHAnsi"/>
          <w:sz w:val="22"/>
          <w:szCs w:val="22"/>
        </w:rPr>
      </w:pPr>
      <w:r w:rsidRPr="00A46CA2">
        <w:rPr>
          <w:rFonts w:asciiTheme="minorHAnsi" w:hAnsiTheme="minorHAnsi" w:cstheme="minorHAnsi"/>
          <w:sz w:val="22"/>
          <w:szCs w:val="22"/>
        </w:rPr>
        <w:t>Evidence tends to prove or disprove a matter or fact in issue</w:t>
      </w:r>
    </w:p>
    <w:p w14:paraId="0A700342" w14:textId="77777777" w:rsidR="0034431F" w:rsidRPr="00A46CA2" w:rsidRDefault="0034431F" w:rsidP="00AA6214">
      <w:pPr>
        <w:ind w:left="1440"/>
        <w:rPr>
          <w:rFonts w:asciiTheme="minorHAnsi" w:hAnsiTheme="minorHAnsi" w:cstheme="minorHAnsi"/>
          <w:sz w:val="22"/>
          <w:szCs w:val="22"/>
        </w:rPr>
      </w:pPr>
    </w:p>
    <w:p w14:paraId="49D08995" w14:textId="62271E2F" w:rsidR="0030143E" w:rsidRPr="00A46CA2" w:rsidRDefault="0030143E" w:rsidP="0030143E">
      <w:pPr>
        <w:numPr>
          <w:ilvl w:val="0"/>
          <w:numId w:val="3"/>
        </w:numPr>
        <w:rPr>
          <w:rFonts w:asciiTheme="minorHAnsi" w:hAnsiTheme="minorHAnsi" w:cstheme="minorHAnsi"/>
          <w:sz w:val="22"/>
          <w:szCs w:val="22"/>
        </w:rPr>
      </w:pPr>
      <w:r w:rsidRPr="00A46CA2">
        <w:rPr>
          <w:rFonts w:asciiTheme="minorHAnsi" w:hAnsiTheme="minorHAnsi" w:cstheme="minorHAnsi"/>
          <w:sz w:val="22"/>
          <w:szCs w:val="22"/>
        </w:rPr>
        <w:t>Criteria to become evidence at a hearing, Admissibility: 1. Relevance, 2. Materiality, and if so, 3. not subject to any exclusionary rule, including</w:t>
      </w:r>
      <w:r w:rsidR="004F2D20">
        <w:rPr>
          <w:rFonts w:asciiTheme="minorHAnsi" w:hAnsiTheme="minorHAnsi" w:cstheme="minorHAnsi"/>
          <w:sz w:val="22"/>
          <w:szCs w:val="22"/>
        </w:rPr>
        <w:t xml:space="preserve"> if obtained through</w:t>
      </w:r>
      <w:r w:rsidRPr="00A46CA2">
        <w:rPr>
          <w:rFonts w:asciiTheme="minorHAnsi" w:hAnsiTheme="minorHAnsi" w:cstheme="minorHAnsi"/>
          <w:sz w:val="22"/>
          <w:szCs w:val="22"/>
        </w:rPr>
        <w:t xml:space="preserve"> breach(es) of the </w:t>
      </w:r>
      <w:r w:rsidRPr="00A46CA2">
        <w:rPr>
          <w:rFonts w:asciiTheme="minorHAnsi" w:hAnsiTheme="minorHAnsi" w:cstheme="minorHAnsi"/>
          <w:i/>
          <w:iCs/>
          <w:sz w:val="22"/>
          <w:szCs w:val="22"/>
        </w:rPr>
        <w:t>Charter of Rights and Freedoms</w:t>
      </w:r>
    </w:p>
    <w:p w14:paraId="7089EB6B" w14:textId="76195E41" w:rsidR="0034431F" w:rsidRPr="00A46CA2" w:rsidRDefault="0034431F" w:rsidP="0034431F">
      <w:pPr>
        <w:rPr>
          <w:rFonts w:asciiTheme="minorHAnsi" w:hAnsiTheme="minorHAnsi" w:cstheme="minorHAnsi"/>
          <w:i/>
          <w:iCs/>
          <w:sz w:val="22"/>
          <w:szCs w:val="22"/>
        </w:rPr>
      </w:pPr>
    </w:p>
    <w:p w14:paraId="4641E384" w14:textId="074A5D33" w:rsidR="0034431F" w:rsidRPr="00A46CA2" w:rsidRDefault="0034431F" w:rsidP="0034431F">
      <w:pPr>
        <w:ind w:left="1440"/>
        <w:rPr>
          <w:rFonts w:asciiTheme="minorHAnsi" w:hAnsiTheme="minorHAnsi" w:cstheme="minorHAnsi"/>
          <w:sz w:val="22"/>
          <w:szCs w:val="22"/>
        </w:rPr>
      </w:pPr>
      <w:r w:rsidRPr="00A46CA2">
        <w:rPr>
          <w:rFonts w:asciiTheme="minorHAnsi" w:hAnsiTheme="minorHAnsi" w:cstheme="minorHAnsi"/>
          <w:sz w:val="22"/>
          <w:szCs w:val="22"/>
        </w:rPr>
        <w:t>Relevance is a logical analysis – an umbrella is logically connected to rain</w:t>
      </w:r>
    </w:p>
    <w:p w14:paraId="4AE626D9" w14:textId="73B4AE9C" w:rsidR="0034431F" w:rsidRPr="00A46CA2" w:rsidRDefault="0034431F" w:rsidP="0034431F">
      <w:pPr>
        <w:ind w:left="1440"/>
        <w:rPr>
          <w:rFonts w:asciiTheme="minorHAnsi" w:hAnsiTheme="minorHAnsi" w:cstheme="minorHAnsi"/>
          <w:sz w:val="22"/>
          <w:szCs w:val="22"/>
        </w:rPr>
      </w:pPr>
      <w:r w:rsidRPr="00A46CA2">
        <w:rPr>
          <w:rFonts w:asciiTheme="minorHAnsi" w:hAnsiTheme="minorHAnsi" w:cstheme="minorHAnsi"/>
          <w:sz w:val="22"/>
          <w:szCs w:val="22"/>
        </w:rPr>
        <w:t>Materiality is a legal analysis – if the issue to be determined is whether it is raining, then the presence of a wet umbrella is material</w:t>
      </w:r>
    </w:p>
    <w:p w14:paraId="451360CA" w14:textId="77777777" w:rsidR="008502D7" w:rsidRDefault="0034431F" w:rsidP="0034431F">
      <w:pPr>
        <w:ind w:left="1440"/>
        <w:rPr>
          <w:rFonts w:asciiTheme="minorHAnsi" w:hAnsiTheme="minorHAnsi" w:cstheme="minorHAnsi"/>
          <w:sz w:val="22"/>
          <w:szCs w:val="22"/>
        </w:rPr>
      </w:pPr>
      <w:r w:rsidRPr="00A46CA2">
        <w:rPr>
          <w:rFonts w:asciiTheme="minorHAnsi" w:hAnsiTheme="minorHAnsi" w:cstheme="minorHAnsi"/>
          <w:sz w:val="22"/>
          <w:szCs w:val="22"/>
        </w:rPr>
        <w:t xml:space="preserve">Rules of exclusion – there are many and the list is beyond the scope of the course, but we can say one very important rule is the Rule Against </w:t>
      </w:r>
      <w:proofErr w:type="gramStart"/>
      <w:r w:rsidRPr="00A46CA2">
        <w:rPr>
          <w:rFonts w:asciiTheme="minorHAnsi" w:hAnsiTheme="minorHAnsi" w:cstheme="minorHAnsi"/>
          <w:sz w:val="22"/>
          <w:szCs w:val="22"/>
        </w:rPr>
        <w:t>Hearsay</w:t>
      </w:r>
      <w:r w:rsidR="004F2D20">
        <w:rPr>
          <w:rFonts w:asciiTheme="minorHAnsi" w:hAnsiTheme="minorHAnsi" w:cstheme="minorHAnsi"/>
          <w:sz w:val="22"/>
          <w:szCs w:val="22"/>
        </w:rPr>
        <w:t>;</w:t>
      </w:r>
      <w:proofErr w:type="gramEnd"/>
      <w:r w:rsidR="004F2D20">
        <w:rPr>
          <w:rFonts w:asciiTheme="minorHAnsi" w:hAnsiTheme="minorHAnsi" w:cstheme="minorHAnsi"/>
          <w:sz w:val="22"/>
          <w:szCs w:val="22"/>
        </w:rPr>
        <w:t xml:space="preserve"> </w:t>
      </w:r>
    </w:p>
    <w:p w14:paraId="759B8364" w14:textId="66A4385E" w:rsidR="0034431F" w:rsidRPr="00A46CA2" w:rsidRDefault="004F2D20" w:rsidP="0034431F">
      <w:pPr>
        <w:ind w:left="1440"/>
        <w:rPr>
          <w:rFonts w:asciiTheme="minorHAnsi" w:hAnsiTheme="minorHAnsi" w:cstheme="minorHAnsi"/>
          <w:sz w:val="22"/>
          <w:szCs w:val="22"/>
        </w:rPr>
      </w:pPr>
      <w:r>
        <w:rPr>
          <w:rFonts w:asciiTheme="minorHAnsi" w:hAnsiTheme="minorHAnsi" w:cstheme="minorHAnsi"/>
          <w:sz w:val="22"/>
          <w:szCs w:val="22"/>
        </w:rPr>
        <w:t xml:space="preserve">in the case of the Charter, it is whether the evidence was gathered </w:t>
      </w:r>
      <w:proofErr w:type="gramStart"/>
      <w:r>
        <w:rPr>
          <w:rFonts w:asciiTheme="minorHAnsi" w:hAnsiTheme="minorHAnsi" w:cstheme="minorHAnsi"/>
          <w:sz w:val="22"/>
          <w:szCs w:val="22"/>
        </w:rPr>
        <w:t>as a result of</w:t>
      </w:r>
      <w:proofErr w:type="gramEnd"/>
      <w:r>
        <w:rPr>
          <w:rFonts w:asciiTheme="minorHAnsi" w:hAnsiTheme="minorHAnsi" w:cstheme="minorHAnsi"/>
          <w:sz w:val="22"/>
          <w:szCs w:val="22"/>
        </w:rPr>
        <w:t xml:space="preserve"> police breaching the accused’s rights (for example, a confession obtained via threats)</w:t>
      </w:r>
    </w:p>
    <w:p w14:paraId="2106C38D" w14:textId="77777777" w:rsidR="0034431F" w:rsidRPr="00A46CA2" w:rsidRDefault="0034431F" w:rsidP="0034431F">
      <w:pPr>
        <w:ind w:left="1440"/>
        <w:rPr>
          <w:rFonts w:asciiTheme="minorHAnsi" w:hAnsiTheme="minorHAnsi" w:cstheme="minorHAnsi"/>
          <w:sz w:val="22"/>
          <w:szCs w:val="22"/>
        </w:rPr>
      </w:pPr>
    </w:p>
    <w:p w14:paraId="603AF224" w14:textId="26FB65A2" w:rsidR="0030143E" w:rsidRPr="00A46CA2" w:rsidRDefault="0030143E" w:rsidP="0030143E">
      <w:pPr>
        <w:numPr>
          <w:ilvl w:val="0"/>
          <w:numId w:val="3"/>
        </w:numPr>
        <w:rPr>
          <w:rFonts w:asciiTheme="minorHAnsi" w:hAnsiTheme="minorHAnsi" w:cstheme="minorHAnsi"/>
          <w:sz w:val="22"/>
          <w:szCs w:val="22"/>
        </w:rPr>
      </w:pPr>
      <w:r w:rsidRPr="007F326E">
        <w:rPr>
          <w:rFonts w:asciiTheme="minorHAnsi" w:hAnsiTheme="minorHAnsi" w:cstheme="minorHAnsi"/>
          <w:b/>
          <w:bCs/>
          <w:sz w:val="22"/>
          <w:szCs w:val="22"/>
        </w:rPr>
        <w:t xml:space="preserve">The Ultimate Test for Admissibility: Prejudice </w:t>
      </w:r>
      <w:r w:rsidRPr="007F326E">
        <w:rPr>
          <w:rFonts w:asciiTheme="minorHAnsi" w:hAnsiTheme="minorHAnsi" w:cstheme="minorHAnsi"/>
          <w:b/>
          <w:bCs/>
          <w:i/>
          <w:iCs/>
          <w:sz w:val="22"/>
          <w:szCs w:val="22"/>
        </w:rPr>
        <w:t>versus</w:t>
      </w:r>
      <w:r w:rsidRPr="007F326E">
        <w:rPr>
          <w:rFonts w:asciiTheme="minorHAnsi" w:hAnsiTheme="minorHAnsi" w:cstheme="minorHAnsi"/>
          <w:b/>
          <w:bCs/>
          <w:sz w:val="22"/>
          <w:szCs w:val="22"/>
        </w:rPr>
        <w:t xml:space="preserve"> Probative Value</w:t>
      </w:r>
      <w:r w:rsidR="004F2D20" w:rsidRPr="007F326E">
        <w:rPr>
          <w:rFonts w:asciiTheme="minorHAnsi" w:hAnsiTheme="minorHAnsi" w:cstheme="minorHAnsi"/>
          <w:b/>
          <w:bCs/>
          <w:sz w:val="22"/>
          <w:szCs w:val="22"/>
        </w:rPr>
        <w:t>.</w:t>
      </w:r>
      <w:r w:rsidR="004F2D20">
        <w:rPr>
          <w:rFonts w:asciiTheme="minorHAnsi" w:hAnsiTheme="minorHAnsi" w:cstheme="minorHAnsi"/>
          <w:sz w:val="22"/>
          <w:szCs w:val="22"/>
        </w:rPr>
        <w:t xml:space="preserve"> Prejudice means misuse of the evidence to the detriment of one side’s cause (the accused has a criminal record, </w:t>
      </w:r>
      <w:r w:rsidR="004F2D20">
        <w:rPr>
          <w:rFonts w:asciiTheme="minorHAnsi" w:hAnsiTheme="minorHAnsi" w:cstheme="minorHAnsi"/>
          <w:sz w:val="22"/>
          <w:szCs w:val="22"/>
        </w:rPr>
        <w:lastRenderedPageBreak/>
        <w:t>therefore he is more likely to have committed this particular criminal act now charged), while probative value is the tendency of the evidence in question to prove something in issue (</w:t>
      </w:r>
      <w:r w:rsidR="008F78DC">
        <w:rPr>
          <w:rFonts w:asciiTheme="minorHAnsi" w:hAnsiTheme="minorHAnsi" w:cstheme="minorHAnsi"/>
          <w:sz w:val="22"/>
          <w:szCs w:val="22"/>
        </w:rPr>
        <w:t>the accused has committed crimes in the past in exactly the same way as the current offence, therefore it may have been him who committed this offence, where identity of the perpetrator is in question)</w:t>
      </w:r>
      <w:r w:rsidR="004F2D20">
        <w:rPr>
          <w:rFonts w:asciiTheme="minorHAnsi" w:hAnsiTheme="minorHAnsi" w:cstheme="minorHAnsi"/>
          <w:sz w:val="22"/>
          <w:szCs w:val="22"/>
        </w:rPr>
        <w:t>.</w:t>
      </w:r>
      <w:r w:rsidRPr="00A46CA2">
        <w:rPr>
          <w:rFonts w:asciiTheme="minorHAnsi" w:hAnsiTheme="minorHAnsi" w:cstheme="minorHAnsi"/>
          <w:sz w:val="22"/>
          <w:szCs w:val="22"/>
        </w:rPr>
        <w:t xml:space="preserve"> </w:t>
      </w:r>
      <w:r w:rsidR="004F2D20">
        <w:rPr>
          <w:rFonts w:asciiTheme="minorHAnsi" w:hAnsiTheme="minorHAnsi" w:cstheme="minorHAnsi"/>
          <w:sz w:val="22"/>
          <w:szCs w:val="22"/>
        </w:rPr>
        <w:t>Evidence often has both a prejudicial effect and a probative value.</w:t>
      </w:r>
      <w:r w:rsidR="008F78DC">
        <w:rPr>
          <w:rFonts w:asciiTheme="minorHAnsi" w:hAnsiTheme="minorHAnsi" w:cstheme="minorHAnsi"/>
          <w:sz w:val="22"/>
          <w:szCs w:val="22"/>
        </w:rPr>
        <w:t xml:space="preserve"> </w:t>
      </w:r>
      <w:r w:rsidRPr="00A46CA2">
        <w:rPr>
          <w:rFonts w:asciiTheme="minorHAnsi" w:hAnsiTheme="minorHAnsi" w:cstheme="minorHAnsi"/>
          <w:sz w:val="22"/>
          <w:szCs w:val="22"/>
        </w:rPr>
        <w:t>(</w:t>
      </w:r>
      <w:r w:rsidRPr="00A46CA2">
        <w:rPr>
          <w:rFonts w:asciiTheme="minorHAnsi" w:hAnsiTheme="minorHAnsi" w:cstheme="minorHAnsi"/>
          <w:b/>
          <w:bCs/>
          <w:i/>
          <w:iCs/>
          <w:sz w:val="22"/>
          <w:szCs w:val="22"/>
        </w:rPr>
        <w:t>Handy</w:t>
      </w:r>
      <w:r w:rsidRPr="00A46CA2">
        <w:rPr>
          <w:rFonts w:asciiTheme="minorHAnsi" w:hAnsiTheme="minorHAnsi" w:cstheme="minorHAnsi"/>
          <w:sz w:val="22"/>
          <w:szCs w:val="22"/>
        </w:rPr>
        <w:t>)</w:t>
      </w:r>
    </w:p>
    <w:p w14:paraId="67774972" w14:textId="66497B38" w:rsidR="0034431F" w:rsidRPr="00A46CA2" w:rsidRDefault="0034431F" w:rsidP="0034431F">
      <w:pPr>
        <w:rPr>
          <w:rFonts w:asciiTheme="minorHAnsi" w:hAnsiTheme="minorHAnsi" w:cstheme="minorHAnsi"/>
          <w:sz w:val="22"/>
          <w:szCs w:val="22"/>
        </w:rPr>
      </w:pPr>
    </w:p>
    <w:p w14:paraId="5C152A6E" w14:textId="1BE72BAC" w:rsidR="0034431F" w:rsidRPr="00A46CA2" w:rsidRDefault="007F326E" w:rsidP="0034431F">
      <w:pPr>
        <w:ind w:left="1440"/>
        <w:rPr>
          <w:rFonts w:asciiTheme="minorHAnsi" w:hAnsiTheme="minorHAnsi" w:cstheme="minorHAnsi"/>
          <w:i/>
          <w:iCs/>
          <w:sz w:val="22"/>
          <w:szCs w:val="22"/>
          <w:lang w:val="en-US"/>
        </w:rPr>
      </w:pPr>
      <w:r>
        <w:rPr>
          <w:rFonts w:asciiTheme="minorHAnsi" w:hAnsiTheme="minorHAnsi" w:cstheme="minorHAnsi"/>
          <w:i/>
          <w:iCs/>
          <w:sz w:val="22"/>
          <w:szCs w:val="22"/>
        </w:rPr>
        <w:t>“</w:t>
      </w:r>
      <w:r w:rsidR="0034431F" w:rsidRPr="00A46CA2">
        <w:rPr>
          <w:rFonts w:asciiTheme="minorHAnsi" w:hAnsiTheme="minorHAnsi" w:cstheme="minorHAnsi"/>
          <w:i/>
          <w:iCs/>
          <w:sz w:val="22"/>
          <w:szCs w:val="22"/>
        </w:rPr>
        <w:t>The policy basis for the exclusion is that while in some cases propensity inferred from similar facts may be relevant, it may also capture the attention of the trier of fact to an unwarranted degree.  Its potential for prejudice, distraction and time consumption is very great and these disadvantages will almost always outweigh its probative value.  It ought, in general, to form no part of the case which the accused is called on to answer.  It is excluded notwithstanding the general rule that all relevant evidence is admissible…</w:t>
      </w:r>
      <w:r>
        <w:rPr>
          <w:rFonts w:asciiTheme="minorHAnsi" w:hAnsiTheme="minorHAnsi" w:cstheme="minorHAnsi"/>
          <w:i/>
          <w:iCs/>
          <w:sz w:val="22"/>
          <w:szCs w:val="22"/>
        </w:rPr>
        <w:t>”</w:t>
      </w:r>
    </w:p>
    <w:p w14:paraId="12C95CDF" w14:textId="77777777" w:rsidR="0034431F" w:rsidRPr="00A46CA2" w:rsidRDefault="0034431F" w:rsidP="0034431F">
      <w:pPr>
        <w:ind w:left="1440"/>
        <w:rPr>
          <w:rFonts w:asciiTheme="minorHAnsi" w:hAnsiTheme="minorHAnsi" w:cstheme="minorHAnsi"/>
          <w:i/>
          <w:iCs/>
          <w:sz w:val="22"/>
          <w:szCs w:val="22"/>
          <w:lang w:val="en-US"/>
        </w:rPr>
      </w:pPr>
    </w:p>
    <w:p w14:paraId="474B125C" w14:textId="7FA69200" w:rsidR="0034431F" w:rsidRPr="0034431F" w:rsidRDefault="007F326E" w:rsidP="0034431F">
      <w:pPr>
        <w:ind w:left="1440"/>
        <w:rPr>
          <w:rFonts w:asciiTheme="minorHAnsi" w:hAnsiTheme="minorHAnsi" w:cstheme="minorHAnsi"/>
          <w:i/>
          <w:iCs/>
          <w:sz w:val="22"/>
          <w:szCs w:val="22"/>
          <w:lang w:val="en-US"/>
        </w:rPr>
      </w:pPr>
      <w:r>
        <w:rPr>
          <w:rFonts w:asciiTheme="minorHAnsi" w:hAnsiTheme="minorHAnsi" w:cstheme="minorHAnsi"/>
          <w:i/>
          <w:iCs/>
          <w:sz w:val="22"/>
          <w:szCs w:val="22"/>
          <w:lang w:val="en-US"/>
        </w:rPr>
        <w:t>“</w:t>
      </w:r>
      <w:r w:rsidR="0034431F" w:rsidRPr="0034431F">
        <w:rPr>
          <w:rFonts w:asciiTheme="minorHAnsi" w:hAnsiTheme="minorHAnsi" w:cstheme="minorHAnsi"/>
          <w:i/>
          <w:iCs/>
          <w:sz w:val="22"/>
          <w:szCs w:val="22"/>
          <w:lang w:val="en-US"/>
        </w:rPr>
        <w:t>It has been recognized since Lord Herschell L.C.’s time that it is one thing to talk about so general a test as balancing probative value against prejudice, and a different and much more difficult thing to apply the test in a practical way (Makin, supra, at p. 65).  What are the manageable criteria?  How “probative” must the evidence be to get over the admissibility hurdle?  How much prejudice is too much?  How do we calibrate the scales that balance probative value against prejudice?</w:t>
      </w:r>
      <w:r>
        <w:rPr>
          <w:rFonts w:asciiTheme="minorHAnsi" w:hAnsiTheme="minorHAnsi" w:cstheme="minorHAnsi"/>
          <w:i/>
          <w:iCs/>
          <w:sz w:val="22"/>
          <w:szCs w:val="22"/>
          <w:lang w:val="en-US"/>
        </w:rPr>
        <w:t>”</w:t>
      </w:r>
      <w:r w:rsidR="0034431F" w:rsidRPr="0034431F">
        <w:rPr>
          <w:rFonts w:asciiTheme="minorHAnsi" w:hAnsiTheme="minorHAnsi" w:cstheme="minorHAnsi"/>
          <w:i/>
          <w:iCs/>
          <w:sz w:val="22"/>
          <w:szCs w:val="22"/>
          <w:lang w:val="en-US"/>
        </w:rPr>
        <w:t> </w:t>
      </w:r>
      <w:r w:rsidR="0034431F" w:rsidRPr="008F78DC">
        <w:rPr>
          <w:rFonts w:asciiTheme="minorHAnsi" w:hAnsiTheme="minorHAnsi" w:cstheme="minorHAnsi"/>
          <w:b/>
          <w:bCs/>
          <w:i/>
          <w:iCs/>
          <w:sz w:val="22"/>
          <w:szCs w:val="22"/>
          <w:lang w:val="en-US"/>
        </w:rPr>
        <w:t>R. v. Handy 2002 SCC 56 (</w:t>
      </w:r>
      <w:proofErr w:type="spellStart"/>
      <w:r w:rsidR="0034431F" w:rsidRPr="008F78DC">
        <w:rPr>
          <w:rFonts w:asciiTheme="minorHAnsi" w:hAnsiTheme="minorHAnsi" w:cstheme="minorHAnsi"/>
          <w:b/>
          <w:bCs/>
          <w:i/>
          <w:iCs/>
          <w:sz w:val="22"/>
          <w:szCs w:val="22"/>
          <w:lang w:val="en-US"/>
        </w:rPr>
        <w:t>CanLII</w:t>
      </w:r>
      <w:proofErr w:type="spellEnd"/>
      <w:r w:rsidR="0034431F" w:rsidRPr="008F78DC">
        <w:rPr>
          <w:rFonts w:asciiTheme="minorHAnsi" w:hAnsiTheme="minorHAnsi" w:cstheme="minorHAnsi"/>
          <w:b/>
          <w:bCs/>
          <w:i/>
          <w:iCs/>
          <w:sz w:val="22"/>
          <w:szCs w:val="22"/>
          <w:lang w:val="en-US"/>
        </w:rPr>
        <w:t>)</w:t>
      </w:r>
    </w:p>
    <w:p w14:paraId="2C090742" w14:textId="6564EE9B" w:rsidR="0034431F" w:rsidRPr="00A46CA2" w:rsidRDefault="0034431F" w:rsidP="0034431F">
      <w:pPr>
        <w:ind w:left="1440"/>
        <w:rPr>
          <w:rFonts w:asciiTheme="minorHAnsi" w:hAnsiTheme="minorHAnsi" w:cstheme="minorHAnsi"/>
          <w:sz w:val="22"/>
          <w:szCs w:val="22"/>
        </w:rPr>
      </w:pPr>
      <w:r w:rsidRPr="0034431F">
        <w:rPr>
          <w:rFonts w:asciiTheme="minorHAnsi" w:hAnsiTheme="minorHAnsi" w:cstheme="minorHAnsi"/>
          <w:sz w:val="22"/>
          <w:szCs w:val="22"/>
          <w:lang w:val="en-US"/>
        </w:rPr>
        <w:t> </w:t>
      </w:r>
    </w:p>
    <w:p w14:paraId="4B7FDCCB" w14:textId="77777777" w:rsidR="0030143E" w:rsidRPr="00A46CA2" w:rsidRDefault="0030143E" w:rsidP="0030143E">
      <w:pPr>
        <w:rPr>
          <w:rFonts w:asciiTheme="minorHAnsi" w:hAnsiTheme="minorHAnsi" w:cstheme="minorHAnsi"/>
          <w:b/>
          <w:sz w:val="22"/>
          <w:szCs w:val="22"/>
        </w:rPr>
      </w:pPr>
      <w:r w:rsidRPr="00A46CA2">
        <w:rPr>
          <w:rFonts w:asciiTheme="minorHAnsi" w:hAnsiTheme="minorHAnsi" w:cstheme="minorHAnsi"/>
          <w:b/>
          <w:sz w:val="22"/>
          <w:szCs w:val="22"/>
          <w:u w:val="single"/>
        </w:rPr>
        <w:t>WHO</w:t>
      </w:r>
      <w:r w:rsidRPr="00A46CA2">
        <w:rPr>
          <w:rFonts w:asciiTheme="minorHAnsi" w:hAnsiTheme="minorHAnsi" w:cstheme="minorHAnsi"/>
          <w:b/>
          <w:sz w:val="22"/>
          <w:szCs w:val="22"/>
        </w:rPr>
        <w:t xml:space="preserve"> can CALL/INTRODUCE evidence? </w:t>
      </w:r>
    </w:p>
    <w:p w14:paraId="03464838" w14:textId="5F2B9BD2" w:rsidR="0030143E" w:rsidRPr="00A46CA2" w:rsidRDefault="0030143E" w:rsidP="0030143E">
      <w:pPr>
        <w:pStyle w:val="ListParagraph"/>
        <w:numPr>
          <w:ilvl w:val="0"/>
          <w:numId w:val="5"/>
        </w:numPr>
        <w:rPr>
          <w:rFonts w:cstheme="minorHAnsi"/>
          <w:bCs/>
        </w:rPr>
      </w:pPr>
      <w:r w:rsidRPr="00A46CA2">
        <w:rPr>
          <w:rFonts w:cstheme="minorHAnsi"/>
          <w:bCs/>
        </w:rPr>
        <w:t>Generally: Parties to the proceeding</w:t>
      </w:r>
      <w:r w:rsidR="008F78DC">
        <w:rPr>
          <w:rFonts w:cstheme="minorHAnsi"/>
          <w:bCs/>
        </w:rPr>
        <w:t xml:space="preserve"> decide what evidence is put before the court in a proceeding. </w:t>
      </w:r>
      <w:r w:rsidRPr="00A46CA2">
        <w:rPr>
          <w:rFonts w:cstheme="minorHAnsi"/>
          <w:bCs/>
        </w:rPr>
        <w:t>(</w:t>
      </w:r>
      <w:r w:rsidRPr="00A46CA2">
        <w:rPr>
          <w:rFonts w:cstheme="minorHAnsi"/>
          <w:b/>
          <w:i/>
          <w:iCs/>
        </w:rPr>
        <w:t>Cook</w:t>
      </w:r>
      <w:r w:rsidR="008F78DC">
        <w:rPr>
          <w:rFonts w:cstheme="minorHAnsi"/>
          <w:b/>
          <w:i/>
          <w:iCs/>
        </w:rPr>
        <w:t>, Lyttle</w:t>
      </w:r>
      <w:r w:rsidRPr="00A46CA2">
        <w:rPr>
          <w:rFonts w:cstheme="minorHAnsi"/>
          <w:bCs/>
        </w:rPr>
        <w:t>)</w:t>
      </w:r>
    </w:p>
    <w:p w14:paraId="0822970D" w14:textId="32099189" w:rsidR="0034431F" w:rsidRPr="00A46CA2" w:rsidRDefault="0034431F" w:rsidP="0034431F">
      <w:pPr>
        <w:pStyle w:val="ListParagraph"/>
        <w:rPr>
          <w:rFonts w:cstheme="minorHAnsi"/>
          <w:bCs/>
        </w:rPr>
      </w:pPr>
    </w:p>
    <w:p w14:paraId="3420F702" w14:textId="3CC1BBDC" w:rsidR="0034431F" w:rsidRPr="008F78DC" w:rsidRDefault="008F78DC" w:rsidP="0034431F">
      <w:pPr>
        <w:pStyle w:val="ListParagraph"/>
        <w:ind w:left="1440"/>
        <w:rPr>
          <w:rFonts w:cstheme="minorHAnsi"/>
          <w:b/>
          <w:i/>
          <w:iCs/>
          <w:lang w:val="en-CA"/>
        </w:rPr>
      </w:pPr>
      <w:r>
        <w:rPr>
          <w:rFonts w:cstheme="minorHAnsi"/>
          <w:bCs/>
          <w:i/>
          <w:iCs/>
          <w:lang w:val="en-CA"/>
        </w:rPr>
        <w:t>“</w:t>
      </w:r>
      <w:r w:rsidR="0034431F" w:rsidRPr="00A46CA2">
        <w:rPr>
          <w:rFonts w:cstheme="minorHAnsi"/>
          <w:bCs/>
          <w:i/>
          <w:iCs/>
          <w:lang w:val="en-CA"/>
        </w:rPr>
        <w:t xml:space="preserve">The Crown, for the criminal justice system to work well, must possess a fair deal of discretion extending to all aspects of the trial process.  This discretion is not </w:t>
      </w:r>
      <w:proofErr w:type="gramStart"/>
      <w:r w:rsidR="0034431F" w:rsidRPr="00A46CA2">
        <w:rPr>
          <w:rFonts w:cstheme="minorHAnsi"/>
          <w:bCs/>
          <w:i/>
          <w:iCs/>
          <w:lang w:val="en-CA"/>
        </w:rPr>
        <w:t>absolute</w:t>
      </w:r>
      <w:proofErr w:type="gramEnd"/>
      <w:r w:rsidR="0034431F" w:rsidRPr="00A46CA2">
        <w:rPr>
          <w:rFonts w:cstheme="minorHAnsi"/>
          <w:bCs/>
          <w:i/>
          <w:iCs/>
          <w:lang w:val="en-CA"/>
        </w:rPr>
        <w:t xml:space="preserve"> and its improper exercise can result in the finding of an abuse of process.  The Crown cannot adopt a purely adversarial role towards the defence, given its special function in ensuring that justice is served, but it is both permissible and desirable that the Crown vigorously pursue a legitimate result to the best of its ability. Part of this discretion involves the choice of which witnesses to call.  Given the strong preference this Court has shown for deferring to the Crown’s discretionary authority, it would take a strong opposing rationale to warrant the creation of a duty which so clearly impedes it</w:t>
      </w:r>
      <w:r w:rsidR="0034431F" w:rsidRPr="008F78DC">
        <w:rPr>
          <w:rFonts w:cstheme="minorHAnsi"/>
          <w:b/>
          <w:i/>
          <w:iCs/>
          <w:lang w:val="en-CA"/>
        </w:rPr>
        <w:t>.</w:t>
      </w:r>
      <w:r>
        <w:rPr>
          <w:rFonts w:cstheme="minorHAnsi"/>
          <w:b/>
          <w:i/>
          <w:iCs/>
          <w:lang w:val="en-CA"/>
        </w:rPr>
        <w:t>”</w:t>
      </w:r>
      <w:r w:rsidR="00A46CA2" w:rsidRPr="008F78DC">
        <w:rPr>
          <w:rFonts w:cstheme="minorHAnsi"/>
          <w:b/>
          <w:i/>
          <w:iCs/>
          <w:lang w:val="en-CA"/>
        </w:rPr>
        <w:t xml:space="preserve"> R. v. Cook 1997 CanLII 392</w:t>
      </w:r>
    </w:p>
    <w:p w14:paraId="0FDCB7D8" w14:textId="2B3458AD" w:rsidR="00A46CA2" w:rsidRDefault="00A46CA2" w:rsidP="0034431F">
      <w:pPr>
        <w:pStyle w:val="ListParagraph"/>
        <w:ind w:left="1440"/>
        <w:rPr>
          <w:rFonts w:cstheme="minorHAnsi"/>
          <w:bCs/>
          <w:i/>
          <w:iCs/>
          <w:lang w:val="en-CA"/>
        </w:rPr>
      </w:pPr>
    </w:p>
    <w:p w14:paraId="123ABC84" w14:textId="7474A5DC" w:rsidR="00A5677B" w:rsidRDefault="00A5677B" w:rsidP="0034431F">
      <w:pPr>
        <w:pStyle w:val="ListParagraph"/>
        <w:ind w:left="1440"/>
        <w:rPr>
          <w:rFonts w:cstheme="minorHAnsi"/>
          <w:bCs/>
          <w:lang w:val="en-CA"/>
        </w:rPr>
      </w:pPr>
      <w:r w:rsidRPr="00A5677B">
        <w:rPr>
          <w:rFonts w:cstheme="minorHAnsi"/>
          <w:bCs/>
          <w:lang w:val="en-CA"/>
        </w:rPr>
        <w:t xml:space="preserve">The accused is entitled to make “full answer and defence” at the close of the Crown’s case. </w:t>
      </w:r>
      <w:r>
        <w:rPr>
          <w:rFonts w:cstheme="minorHAnsi"/>
          <w:bCs/>
          <w:lang w:val="en-CA"/>
        </w:rPr>
        <w:t>This is provided for in section 650(3)</w:t>
      </w:r>
    </w:p>
    <w:p w14:paraId="3A0BD14C" w14:textId="77777777" w:rsidR="00A5677B" w:rsidRPr="00A5677B" w:rsidRDefault="00A5677B" w:rsidP="0034431F">
      <w:pPr>
        <w:pStyle w:val="ListParagraph"/>
        <w:ind w:left="1440"/>
        <w:rPr>
          <w:rFonts w:cstheme="minorHAnsi"/>
          <w:bCs/>
          <w:lang w:val="en-CA"/>
        </w:rPr>
      </w:pPr>
    </w:p>
    <w:p w14:paraId="5B32F3AB" w14:textId="343C099B" w:rsidR="0030143E" w:rsidRDefault="008F78DC" w:rsidP="007F326E">
      <w:pPr>
        <w:pStyle w:val="ListParagraph"/>
        <w:ind w:left="1440"/>
      </w:pPr>
      <w:r>
        <w:rPr>
          <w:rFonts w:cstheme="minorHAnsi"/>
          <w:bCs/>
          <w:i/>
          <w:iCs/>
          <w:lang w:val="en-CA"/>
        </w:rPr>
        <w:t>“</w:t>
      </w:r>
      <w:r w:rsidR="00A46CA2" w:rsidRPr="00A46CA2">
        <w:rPr>
          <w:rFonts w:cstheme="minorHAnsi"/>
          <w:bCs/>
          <w:i/>
          <w:iCs/>
          <w:lang w:val="en-CA"/>
        </w:rPr>
        <w:t xml:space="preserve">There can be no question of the importance of cross-examination.  It is of essential importance in determining whether a witness is credible.  Even with the most honest witness cross-examination can provide the means to explore the frailties of the testimony.  For example, it can demonstrate a witness’s weakness of sight or hearing.  It can establish that the existing weather conditions may have limited the ability of a </w:t>
      </w:r>
      <w:r w:rsidR="00A46CA2" w:rsidRPr="00A46CA2">
        <w:rPr>
          <w:rFonts w:cstheme="minorHAnsi"/>
          <w:bCs/>
          <w:i/>
          <w:iCs/>
          <w:lang w:val="en-CA"/>
        </w:rPr>
        <w:lastRenderedPageBreak/>
        <w:t>witness to observe, or that medication taken by the witness would have distorted vision or hearing.  Its importance cannot be denied.  It is the ultimate means of demonstrating truth and of testing veracity.  Cross-examination must be permitted so that an accused can make full answer and defence.  The opportunity to cross-examine witnesses is fundamental to providing a fair trial to an accused.  This is an old and well-established principle that is closely linked to the presumption of innocence</w:t>
      </w:r>
      <w:r w:rsidRPr="008F78DC">
        <w:rPr>
          <w:rFonts w:cstheme="minorHAnsi"/>
          <w:b/>
          <w:i/>
          <w:iCs/>
          <w:lang w:val="en-CA"/>
        </w:rPr>
        <w:t>”</w:t>
      </w:r>
      <w:r w:rsidR="00A46CA2" w:rsidRPr="008F78DC">
        <w:rPr>
          <w:rFonts w:cstheme="minorHAnsi"/>
          <w:b/>
          <w:i/>
          <w:iCs/>
          <w:lang w:val="en-CA"/>
        </w:rPr>
        <w:t>. R. v. Lyttle supra, citing R. v. Osolin1993 CanLII 54 (SCC)</w:t>
      </w:r>
    </w:p>
    <w:sectPr w:rsidR="0030143E">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BAF0A" w14:textId="77777777" w:rsidR="000A7735" w:rsidRDefault="000A7735" w:rsidP="0030143E">
      <w:r>
        <w:separator/>
      </w:r>
    </w:p>
  </w:endnote>
  <w:endnote w:type="continuationSeparator" w:id="0">
    <w:p w14:paraId="261498DF" w14:textId="77777777" w:rsidR="000A7735" w:rsidRDefault="000A7735" w:rsidP="00301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100468"/>
      <w:docPartObj>
        <w:docPartGallery w:val="Page Numbers (Bottom of Page)"/>
        <w:docPartUnique/>
      </w:docPartObj>
    </w:sdtPr>
    <w:sdtEndPr>
      <w:rPr>
        <w:noProof/>
      </w:rPr>
    </w:sdtEndPr>
    <w:sdtContent>
      <w:p w14:paraId="1B4E44C0" w14:textId="1A86A4E9" w:rsidR="00DD2561" w:rsidRDefault="00DD25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E77260" w14:textId="77777777" w:rsidR="00DD2561" w:rsidRDefault="00DD25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A9C26" w14:textId="77777777" w:rsidR="000A7735" w:rsidRDefault="000A7735" w:rsidP="0030143E">
      <w:r>
        <w:separator/>
      </w:r>
    </w:p>
  </w:footnote>
  <w:footnote w:type="continuationSeparator" w:id="0">
    <w:p w14:paraId="30B9C5BA" w14:textId="77777777" w:rsidR="000A7735" w:rsidRDefault="000A7735" w:rsidP="003014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EB47" w14:textId="02354CB8" w:rsidR="0030143E" w:rsidRPr="0030143E" w:rsidRDefault="0030143E" w:rsidP="0030143E">
    <w:pPr>
      <w:pStyle w:val="Header"/>
      <w:jc w:val="center"/>
      <w:rPr>
        <w:rFonts w:ascii="Cambria" w:hAnsi="Cambria"/>
        <w:b/>
        <w:bCs/>
      </w:rPr>
    </w:pPr>
    <w:r w:rsidRPr="0030143E">
      <w:rPr>
        <w:rFonts w:ascii="Cambria" w:hAnsi="Cambria"/>
        <w:b/>
        <w:bCs/>
      </w:rPr>
      <w:t xml:space="preserve">FSCT </w:t>
    </w:r>
    <w:proofErr w:type="gramStart"/>
    <w:r w:rsidRPr="0030143E">
      <w:rPr>
        <w:rFonts w:ascii="Cambria" w:hAnsi="Cambria"/>
        <w:b/>
        <w:bCs/>
      </w:rPr>
      <w:t>7002  –</w:t>
    </w:r>
    <w:proofErr w:type="gramEnd"/>
    <w:r w:rsidRPr="0030143E">
      <w:rPr>
        <w:rFonts w:ascii="Cambria" w:hAnsi="Cambria"/>
        <w:b/>
        <w:bCs/>
      </w:rPr>
      <w:t xml:space="preserve"> Criminal Evidence</w:t>
    </w:r>
  </w:p>
  <w:p w14:paraId="7865FB43" w14:textId="6A30F43B" w:rsidR="0030143E" w:rsidRPr="0030143E" w:rsidRDefault="0030143E" w:rsidP="0030143E">
    <w:pPr>
      <w:pStyle w:val="Header"/>
      <w:jc w:val="center"/>
      <w:rPr>
        <w:rFonts w:ascii="Cambria" w:hAnsi="Cambria"/>
        <w:b/>
        <w:bCs/>
      </w:rPr>
    </w:pPr>
    <w:r w:rsidRPr="0030143E">
      <w:rPr>
        <w:rFonts w:ascii="Cambria" w:hAnsi="Cambria"/>
        <w:b/>
        <w:bCs/>
      </w:rPr>
      <w:t xml:space="preserve">Summary </w:t>
    </w:r>
    <w:r w:rsidR="0041339B">
      <w:rPr>
        <w:rFonts w:ascii="Cambria" w:hAnsi="Cambria"/>
        <w:b/>
        <w:bCs/>
      </w:rPr>
      <w:t>Unit</w:t>
    </w:r>
    <w:r w:rsidRPr="0030143E">
      <w:rPr>
        <w:rFonts w:ascii="Cambria" w:hAnsi="Cambria"/>
        <w:b/>
        <w:bCs/>
      </w:rPr>
      <w:t xml:space="preserve"> </w:t>
    </w:r>
    <w:r w:rsidR="008541A8">
      <w:rPr>
        <w:rFonts w:ascii="Cambria" w:hAnsi="Cambria"/>
        <w:b/>
        <w:bCs/>
      </w:rPr>
      <w:t>2</w:t>
    </w:r>
    <w:r w:rsidRPr="0030143E">
      <w:rPr>
        <w:rFonts w:ascii="Cambria" w:hAnsi="Cambria"/>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63878"/>
    <w:multiLevelType w:val="hybridMultilevel"/>
    <w:tmpl w:val="25E652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9217171"/>
    <w:multiLevelType w:val="hybridMultilevel"/>
    <w:tmpl w:val="D1DEAC44"/>
    <w:lvl w:ilvl="0" w:tplc="04090001">
      <w:start w:val="1"/>
      <w:numFmt w:val="bullet"/>
      <w:lvlText w:val=""/>
      <w:lvlJc w:val="left"/>
      <w:pPr>
        <w:tabs>
          <w:tab w:val="num" w:pos="720"/>
        </w:tabs>
        <w:ind w:left="720" w:hanging="360"/>
      </w:pPr>
      <w:rPr>
        <w:rFonts w:ascii="Symbol" w:hAnsi="Symbol" w:hint="default"/>
      </w:rPr>
    </w:lvl>
    <w:lvl w:ilvl="1" w:tplc="26BAF562">
      <w:start w:val="19"/>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237AFB"/>
    <w:multiLevelType w:val="hybridMultilevel"/>
    <w:tmpl w:val="A41AEFC0"/>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A240704"/>
    <w:multiLevelType w:val="hybridMultilevel"/>
    <w:tmpl w:val="B13A83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33F5185"/>
    <w:multiLevelType w:val="hybridMultilevel"/>
    <w:tmpl w:val="A78068B6"/>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5" w15:restartNumberingAfterBreak="0">
    <w:nsid w:val="5A8C0251"/>
    <w:multiLevelType w:val="hybridMultilevel"/>
    <w:tmpl w:val="A0FC9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94382C"/>
    <w:multiLevelType w:val="hybridMultilevel"/>
    <w:tmpl w:val="629ED83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5AF07F31"/>
    <w:multiLevelType w:val="hybridMultilevel"/>
    <w:tmpl w:val="AE22B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634313"/>
    <w:multiLevelType w:val="hybridMultilevel"/>
    <w:tmpl w:val="9C586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A646A9"/>
    <w:multiLevelType w:val="hybridMultilevel"/>
    <w:tmpl w:val="FB50F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9388158">
    <w:abstractNumId w:val="2"/>
  </w:num>
  <w:num w:numId="2" w16cid:durableId="1930313061">
    <w:abstractNumId w:val="1"/>
  </w:num>
  <w:num w:numId="3" w16cid:durableId="930046692">
    <w:abstractNumId w:val="7"/>
  </w:num>
  <w:num w:numId="4" w16cid:durableId="57829158">
    <w:abstractNumId w:val="8"/>
  </w:num>
  <w:num w:numId="5" w16cid:durableId="1596397353">
    <w:abstractNumId w:val="5"/>
  </w:num>
  <w:num w:numId="6" w16cid:durableId="679046044">
    <w:abstractNumId w:val="0"/>
  </w:num>
  <w:num w:numId="7" w16cid:durableId="1757090796">
    <w:abstractNumId w:val="9"/>
  </w:num>
  <w:num w:numId="8" w16cid:durableId="1214007053">
    <w:abstractNumId w:val="4"/>
  </w:num>
  <w:num w:numId="9" w16cid:durableId="831914091">
    <w:abstractNumId w:val="3"/>
  </w:num>
  <w:num w:numId="10" w16cid:durableId="10034330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43E"/>
    <w:rsid w:val="000A7735"/>
    <w:rsid w:val="000D5893"/>
    <w:rsid w:val="00102AC3"/>
    <w:rsid w:val="00143E43"/>
    <w:rsid w:val="00292B4D"/>
    <w:rsid w:val="002F4F78"/>
    <w:rsid w:val="0030143E"/>
    <w:rsid w:val="0034431F"/>
    <w:rsid w:val="0041339B"/>
    <w:rsid w:val="00413B77"/>
    <w:rsid w:val="00426817"/>
    <w:rsid w:val="004838C3"/>
    <w:rsid w:val="004F2D20"/>
    <w:rsid w:val="0054625F"/>
    <w:rsid w:val="00661332"/>
    <w:rsid w:val="007D1767"/>
    <w:rsid w:val="007F326E"/>
    <w:rsid w:val="007F4D13"/>
    <w:rsid w:val="008502D7"/>
    <w:rsid w:val="008541A8"/>
    <w:rsid w:val="008F78DC"/>
    <w:rsid w:val="00A46CA2"/>
    <w:rsid w:val="00A5677B"/>
    <w:rsid w:val="00AA6214"/>
    <w:rsid w:val="00B526E3"/>
    <w:rsid w:val="00DD2561"/>
    <w:rsid w:val="00DF2268"/>
    <w:rsid w:val="00E420C5"/>
    <w:rsid w:val="00E4797D"/>
    <w:rsid w:val="00E71EFC"/>
    <w:rsid w:val="00E933C2"/>
    <w:rsid w:val="00EF06A6"/>
    <w:rsid w:val="00FE3F32"/>
    <w:rsid w:val="00FF4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B4436"/>
  <w15:chartTrackingRefBased/>
  <w15:docId w15:val="{37A00FA4-C25C-46B0-9B18-FF8A0210D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43E"/>
    <w:pPr>
      <w:spacing w:after="0" w:line="240" w:lineRule="auto"/>
    </w:pPr>
    <w:rPr>
      <w:rFonts w:ascii="Times New Roman" w:eastAsia="Times New Roman" w:hAnsi="Times New Roman" w:cs="Times New Roman"/>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43E"/>
    <w:pPr>
      <w:spacing w:after="200" w:line="276" w:lineRule="auto"/>
      <w:ind w:left="720"/>
      <w:contextualSpacing/>
    </w:pPr>
    <w:rPr>
      <w:rFonts w:asciiTheme="minorHAnsi" w:eastAsiaTheme="minorHAnsi" w:hAnsiTheme="minorHAnsi" w:cstheme="minorBidi"/>
      <w:sz w:val="22"/>
      <w:szCs w:val="22"/>
      <w:lang w:val="en-US" w:eastAsia="en-US"/>
    </w:rPr>
  </w:style>
  <w:style w:type="paragraph" w:styleId="Header">
    <w:name w:val="header"/>
    <w:basedOn w:val="Normal"/>
    <w:link w:val="HeaderChar"/>
    <w:uiPriority w:val="99"/>
    <w:unhideWhenUsed/>
    <w:rsid w:val="0030143E"/>
    <w:pPr>
      <w:tabs>
        <w:tab w:val="center" w:pos="4680"/>
        <w:tab w:val="right" w:pos="9360"/>
      </w:tabs>
    </w:pPr>
  </w:style>
  <w:style w:type="character" w:customStyle="1" w:styleId="HeaderChar">
    <w:name w:val="Header Char"/>
    <w:basedOn w:val="DefaultParagraphFont"/>
    <w:link w:val="Header"/>
    <w:uiPriority w:val="99"/>
    <w:rsid w:val="0030143E"/>
    <w:rPr>
      <w:rFonts w:ascii="Times New Roman" w:eastAsia="Times New Roman" w:hAnsi="Times New Roman" w:cs="Times New Roman"/>
      <w:sz w:val="24"/>
      <w:szCs w:val="24"/>
      <w:lang w:val="en-CA" w:eastAsia="en-CA"/>
    </w:rPr>
  </w:style>
  <w:style w:type="paragraph" w:styleId="Footer">
    <w:name w:val="footer"/>
    <w:basedOn w:val="Normal"/>
    <w:link w:val="FooterChar"/>
    <w:uiPriority w:val="99"/>
    <w:unhideWhenUsed/>
    <w:rsid w:val="0030143E"/>
    <w:pPr>
      <w:tabs>
        <w:tab w:val="center" w:pos="4680"/>
        <w:tab w:val="right" w:pos="9360"/>
      </w:tabs>
    </w:pPr>
  </w:style>
  <w:style w:type="character" w:customStyle="1" w:styleId="FooterChar">
    <w:name w:val="Footer Char"/>
    <w:basedOn w:val="DefaultParagraphFont"/>
    <w:link w:val="Footer"/>
    <w:uiPriority w:val="99"/>
    <w:rsid w:val="0030143E"/>
    <w:rPr>
      <w:rFonts w:ascii="Times New Roman" w:eastAsia="Times New Roman" w:hAnsi="Times New Roman" w:cs="Times New Roman"/>
      <w:sz w:val="24"/>
      <w:szCs w:val="24"/>
      <w:lang w:val="en-CA" w:eastAsia="en-CA"/>
    </w:rPr>
  </w:style>
  <w:style w:type="paragraph" w:styleId="NormalWeb">
    <w:name w:val="Normal (Web)"/>
    <w:basedOn w:val="Normal"/>
    <w:uiPriority w:val="99"/>
    <w:semiHidden/>
    <w:unhideWhenUsed/>
    <w:rsid w:val="0030143E"/>
  </w:style>
  <w:style w:type="character" w:styleId="Hyperlink">
    <w:name w:val="Hyperlink"/>
    <w:basedOn w:val="DefaultParagraphFont"/>
    <w:uiPriority w:val="99"/>
    <w:unhideWhenUsed/>
    <w:rsid w:val="0030143E"/>
    <w:rPr>
      <w:color w:val="0563C1" w:themeColor="hyperlink"/>
      <w:u w:val="single"/>
    </w:rPr>
  </w:style>
  <w:style w:type="character" w:styleId="UnresolvedMention">
    <w:name w:val="Unresolved Mention"/>
    <w:basedOn w:val="DefaultParagraphFont"/>
    <w:uiPriority w:val="99"/>
    <w:semiHidden/>
    <w:unhideWhenUsed/>
    <w:rsid w:val="00301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013868">
      <w:bodyDiv w:val="1"/>
      <w:marLeft w:val="0"/>
      <w:marRight w:val="0"/>
      <w:marTop w:val="0"/>
      <w:marBottom w:val="0"/>
      <w:divBdr>
        <w:top w:val="none" w:sz="0" w:space="0" w:color="auto"/>
        <w:left w:val="none" w:sz="0" w:space="0" w:color="auto"/>
        <w:bottom w:val="none" w:sz="0" w:space="0" w:color="auto"/>
        <w:right w:val="none" w:sz="0" w:space="0" w:color="auto"/>
      </w:divBdr>
      <w:divsChild>
        <w:div w:id="1001739615">
          <w:marLeft w:val="0"/>
          <w:marRight w:val="0"/>
          <w:marTop w:val="0"/>
          <w:marBottom w:val="0"/>
          <w:divBdr>
            <w:top w:val="none" w:sz="0" w:space="0" w:color="auto"/>
            <w:left w:val="none" w:sz="0" w:space="0" w:color="auto"/>
            <w:bottom w:val="none" w:sz="0" w:space="0" w:color="auto"/>
            <w:right w:val="none" w:sz="0" w:space="0" w:color="auto"/>
          </w:divBdr>
        </w:div>
      </w:divsChild>
    </w:div>
    <w:div w:id="1323268355">
      <w:bodyDiv w:val="1"/>
      <w:marLeft w:val="0"/>
      <w:marRight w:val="0"/>
      <w:marTop w:val="0"/>
      <w:marBottom w:val="0"/>
      <w:divBdr>
        <w:top w:val="none" w:sz="0" w:space="0" w:color="auto"/>
        <w:left w:val="none" w:sz="0" w:space="0" w:color="auto"/>
        <w:bottom w:val="none" w:sz="0" w:space="0" w:color="auto"/>
        <w:right w:val="none" w:sz="0" w:space="0" w:color="auto"/>
      </w:divBdr>
      <w:divsChild>
        <w:div w:id="365253150">
          <w:marLeft w:val="0"/>
          <w:marRight w:val="0"/>
          <w:marTop w:val="0"/>
          <w:marBottom w:val="0"/>
          <w:divBdr>
            <w:top w:val="none" w:sz="0" w:space="0" w:color="auto"/>
            <w:left w:val="none" w:sz="0" w:space="0" w:color="auto"/>
            <w:bottom w:val="none" w:sz="0" w:space="0" w:color="auto"/>
            <w:right w:val="none" w:sz="0" w:space="0" w:color="auto"/>
          </w:divBdr>
        </w:div>
        <w:div w:id="1595938993">
          <w:marLeft w:val="0"/>
          <w:marRight w:val="0"/>
          <w:marTop w:val="0"/>
          <w:marBottom w:val="0"/>
          <w:divBdr>
            <w:top w:val="none" w:sz="0" w:space="0" w:color="auto"/>
            <w:left w:val="none" w:sz="0" w:space="0" w:color="auto"/>
            <w:bottom w:val="none" w:sz="0" w:space="0" w:color="auto"/>
            <w:right w:val="none" w:sz="0" w:space="0" w:color="auto"/>
          </w:divBdr>
        </w:div>
      </w:divsChild>
    </w:div>
    <w:div w:id="1837839166">
      <w:bodyDiv w:val="1"/>
      <w:marLeft w:val="0"/>
      <w:marRight w:val="0"/>
      <w:marTop w:val="0"/>
      <w:marBottom w:val="0"/>
      <w:divBdr>
        <w:top w:val="none" w:sz="0" w:space="0" w:color="auto"/>
        <w:left w:val="none" w:sz="0" w:space="0" w:color="auto"/>
        <w:bottom w:val="none" w:sz="0" w:space="0" w:color="auto"/>
        <w:right w:val="none" w:sz="0" w:space="0" w:color="auto"/>
      </w:divBdr>
      <w:divsChild>
        <w:div w:id="1606813966">
          <w:marLeft w:val="0"/>
          <w:marRight w:val="0"/>
          <w:marTop w:val="0"/>
          <w:marBottom w:val="0"/>
          <w:divBdr>
            <w:top w:val="none" w:sz="0" w:space="0" w:color="auto"/>
            <w:left w:val="none" w:sz="0" w:space="0" w:color="auto"/>
            <w:bottom w:val="none" w:sz="0" w:space="0" w:color="auto"/>
            <w:right w:val="none" w:sz="0" w:space="0" w:color="auto"/>
          </w:divBdr>
        </w:div>
      </w:divsChild>
    </w:div>
    <w:div w:id="2087145075">
      <w:bodyDiv w:val="1"/>
      <w:marLeft w:val="0"/>
      <w:marRight w:val="0"/>
      <w:marTop w:val="0"/>
      <w:marBottom w:val="0"/>
      <w:divBdr>
        <w:top w:val="none" w:sz="0" w:space="0" w:color="auto"/>
        <w:left w:val="none" w:sz="0" w:space="0" w:color="auto"/>
        <w:bottom w:val="none" w:sz="0" w:space="0" w:color="auto"/>
        <w:right w:val="none" w:sz="0" w:space="0" w:color="auto"/>
      </w:divBdr>
      <w:divsChild>
        <w:div w:id="10886927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lii.org/en/ca/laws/stat/schedule-b-to-the-canada-act-1982-uk-1982-c-11/latest/schedule-b-to-the-canada-act-1982-uk-1982-c-11.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nlii.org/en/ca/scc/doc/1987/1987canlii25/1987canlii25.htm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canlii.org/en/ca/scc/doc/1991/1991canlii76/1991canlii76.html" TargetMode="External"/><Relationship Id="rId4" Type="http://schemas.openxmlformats.org/officeDocument/2006/relationships/webSettings" Target="webSettings.xml"/><Relationship Id="rId9" Type="http://schemas.openxmlformats.org/officeDocument/2006/relationships/hyperlink" Target="https://www.canlii.org/en/ca/laws/stat/schedule-b-to-the-canada-act-1982-uk-1982-c-11/latest/schedule-b-to-the-canada-act-1982-uk-1982-c-11.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2364</Words>
  <Characters>11570</Characters>
  <Application>Microsoft Office Word</Application>
  <DocSecurity>0</DocSecurity>
  <Lines>221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Bagnall</dc:creator>
  <cp:keywords/>
  <dc:description/>
  <cp:lastModifiedBy>Ryan Johnson</cp:lastModifiedBy>
  <cp:revision>7</cp:revision>
  <dcterms:created xsi:type="dcterms:W3CDTF">2023-01-03T19:05:00Z</dcterms:created>
  <dcterms:modified xsi:type="dcterms:W3CDTF">2026-01-14T21:57:00Z</dcterms:modified>
</cp:coreProperties>
</file>