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AE16E" w14:textId="374A7474" w:rsidR="00C961EA" w:rsidRPr="00F21735" w:rsidRDefault="00EC63BA">
      <w:pPr>
        <w:rPr>
          <w:b/>
          <w:bCs/>
        </w:rPr>
      </w:pPr>
      <w:r>
        <w:rPr>
          <w:b/>
          <w:bCs/>
        </w:rPr>
        <w:t>Unit</w:t>
      </w:r>
      <w:r w:rsidR="00C961EA" w:rsidRPr="00F21735">
        <w:rPr>
          <w:b/>
          <w:bCs/>
        </w:rPr>
        <w:t xml:space="preserve"> 1 Readings </w:t>
      </w:r>
    </w:p>
    <w:p w14:paraId="7F7225BB" w14:textId="77777777" w:rsidR="00C961EA" w:rsidRDefault="00C961EA"/>
    <w:p w14:paraId="2C8642F2" w14:textId="27D7089D" w:rsidR="00457937" w:rsidRDefault="00C961EA">
      <w:r>
        <w:t>The Rule of Law – Gordon Turriff, QC</w:t>
      </w:r>
    </w:p>
    <w:p w14:paraId="2BE5D9B4" w14:textId="453EC26C" w:rsidR="00C961EA" w:rsidRDefault="00C961EA">
      <w:hyperlink r:id="rId5" w:history="1">
        <w:r w:rsidRPr="00AF5B94">
          <w:rPr>
            <w:rStyle w:val="Hyperlink"/>
          </w:rPr>
          <w:t>https://www.lawsociety.bc.ca/Website/media/Shared/docs/publications/reports/turriff-speech.pdf</w:t>
        </w:r>
      </w:hyperlink>
    </w:p>
    <w:p w14:paraId="2576ADB4" w14:textId="0E742FB7" w:rsidR="00C961EA" w:rsidRDefault="00F21735">
      <w:r>
        <w:t>Pages 4-5</w:t>
      </w:r>
    </w:p>
    <w:p w14:paraId="1A573907" w14:textId="77777777" w:rsidR="00F21735" w:rsidRDefault="00F21735"/>
    <w:p w14:paraId="0015EE24" w14:textId="5B9E5DEF" w:rsidR="00F21735" w:rsidRDefault="00EC63BA">
      <w:pPr>
        <w:rPr>
          <w:b/>
          <w:bCs/>
        </w:rPr>
      </w:pPr>
      <w:r>
        <w:rPr>
          <w:b/>
          <w:bCs/>
        </w:rPr>
        <w:t>Unit</w:t>
      </w:r>
      <w:r w:rsidR="00F21735" w:rsidRPr="00F21735">
        <w:rPr>
          <w:b/>
          <w:bCs/>
        </w:rPr>
        <w:t xml:space="preserve"> 2 Readings </w:t>
      </w:r>
    </w:p>
    <w:p w14:paraId="16FCF162" w14:textId="00C502D0" w:rsidR="00F21735" w:rsidRDefault="00F21735">
      <w:pPr>
        <w:rPr>
          <w:b/>
          <w:bCs/>
        </w:rPr>
      </w:pPr>
    </w:p>
    <w:p w14:paraId="2109A09C" w14:textId="3DD1BAF2" w:rsidR="00F21735" w:rsidRDefault="001420D0">
      <w:pPr>
        <w:rPr>
          <w:rFonts w:eastAsia="Calibri" w:cstheme="minorHAnsi"/>
          <w:lang w:val="en-US"/>
        </w:rPr>
      </w:pPr>
      <w:r>
        <w:t>R v</w:t>
      </w:r>
      <w:r w:rsidR="00315160">
        <w:t>.</w:t>
      </w:r>
      <w:r>
        <w:t xml:space="preserve"> Sipes </w:t>
      </w:r>
      <w:r w:rsidRPr="008453B2">
        <w:rPr>
          <w:rFonts w:eastAsia="Calibri" w:cstheme="minorHAnsi"/>
          <w:lang w:val="en-US"/>
        </w:rPr>
        <w:t>2009 BCSC 285</w:t>
      </w:r>
    </w:p>
    <w:p w14:paraId="154BB9B7" w14:textId="281E30BA" w:rsidR="001420D0" w:rsidRDefault="001420D0">
      <w:hyperlink r:id="rId6" w:history="1">
        <w:r w:rsidRPr="00AF5B94">
          <w:rPr>
            <w:rStyle w:val="Hyperlink"/>
          </w:rPr>
          <w:t>https://www.canlii.org/en/bc/bcsc/doc/2009/2009bcsc285/2009bcsc285.html?autocompleteStr=r%20v%20sipes%20b&amp;autocompletePos=1</w:t>
        </w:r>
      </w:hyperlink>
    </w:p>
    <w:p w14:paraId="35D5C840" w14:textId="77777777" w:rsidR="002D4DC2" w:rsidRDefault="002D4DC2" w:rsidP="002D4DC2">
      <w:r>
        <w:t xml:space="preserve">Hansard Spruce Mills (Re) 1954 </w:t>
      </w:r>
      <w:r w:rsidRPr="00766393">
        <w:t>CanLII 253 (BC SC)</w:t>
      </w:r>
    </w:p>
    <w:p w14:paraId="3A26AD67" w14:textId="42A5132F" w:rsidR="00844B6E" w:rsidRDefault="000252A8" w:rsidP="002D4DC2">
      <w:hyperlink r:id="rId7" w:history="1">
        <w:r w:rsidRPr="00F575BF">
          <w:rPr>
            <w:rStyle w:val="Hyperlink"/>
          </w:rPr>
          <w:t>https://www.canlii.org/en/bc/bcsc/doc/1954/1954canlii253/1954canlii253.html?autocompleteStr=Hansard%20Spruce%20Mills%20(Re)%201954%20CanLII%20253%20(BC%20SC)&amp;autocompletePos=1</w:t>
        </w:r>
      </w:hyperlink>
    </w:p>
    <w:p w14:paraId="162973EE" w14:textId="6F9AB789" w:rsidR="002D4DC2" w:rsidRDefault="002D4DC2" w:rsidP="002D4DC2">
      <w:r>
        <w:t xml:space="preserve">Interpretation Act </w:t>
      </w:r>
      <w:r w:rsidRPr="00735C55">
        <w:t>(R.S.C., 1985, c. I-21)</w:t>
      </w:r>
      <w:r>
        <w:t>, section 35</w:t>
      </w:r>
    </w:p>
    <w:p w14:paraId="1229B3D1" w14:textId="0E03ED6A" w:rsidR="002D4DC2" w:rsidRDefault="002D4DC2" w:rsidP="002D4DC2">
      <w:r w:rsidRPr="00766393">
        <w:t>R. v. Turcotte, 2005 SCC 50 (CanLII)</w:t>
      </w:r>
      <w:r w:rsidR="00840B18">
        <w:t xml:space="preserve">  Headnote only </w:t>
      </w:r>
    </w:p>
    <w:p w14:paraId="40B33431" w14:textId="316B4E0C" w:rsidR="00840B18" w:rsidRDefault="00840B18" w:rsidP="002D4DC2">
      <w:hyperlink r:id="rId8" w:history="1">
        <w:r w:rsidRPr="00F575BF">
          <w:rPr>
            <w:rStyle w:val="Hyperlink"/>
          </w:rPr>
          <w:t>https://www.canlii.org/en/ca/scc/doc/2005/2005scc50/2005scc50.html?autocompleteStr=R.%20v.%20Turcotte%2C%202005%20SCC%2050%20(CanLII)&amp;autocompletePos=1</w:t>
        </w:r>
      </w:hyperlink>
    </w:p>
    <w:p w14:paraId="64E41A90" w14:textId="6BDF3906" w:rsidR="002D4DC2" w:rsidRDefault="002D4DC2" w:rsidP="002D4DC2">
      <w:r>
        <w:t xml:space="preserve">R. v. Lifchus, </w:t>
      </w:r>
      <w:r w:rsidRPr="00AE4A90">
        <w:t>1997 CanLII 319 (SCC)</w:t>
      </w:r>
      <w:r>
        <w:t xml:space="preserve"> paragraphs 23-41</w:t>
      </w:r>
    </w:p>
    <w:p w14:paraId="6D9B886C" w14:textId="377EBCFC" w:rsidR="00986719" w:rsidRDefault="00986719" w:rsidP="002D4DC2">
      <w:hyperlink r:id="rId9" w:history="1">
        <w:r w:rsidRPr="00F575BF">
          <w:rPr>
            <w:rStyle w:val="Hyperlink"/>
          </w:rPr>
          <w:t>https://www.canlii.org/en/ca/scc/doc/1997/1997canlii319/1997canlii319.html?autocompleteStr=R.%20v.%20Lifchus%2C%201997%20CanLII%20319%20(SCC&amp;autocompletePos=1</w:t>
        </w:r>
      </w:hyperlink>
    </w:p>
    <w:p w14:paraId="4E4ABE51" w14:textId="65898F13" w:rsidR="002D4DC2" w:rsidRDefault="00F80BAA">
      <w:r w:rsidRPr="00F80BAA">
        <w:t>R. v. Sanchez, 2017 ONCA 994 (CanLII)</w:t>
      </w:r>
      <w:r>
        <w:t xml:space="preserve"> paragraph</w:t>
      </w:r>
      <w:r w:rsidR="00C35BB6">
        <w:t>s 24-</w:t>
      </w:r>
      <w:r>
        <w:t xml:space="preserve"> 25</w:t>
      </w:r>
    </w:p>
    <w:p w14:paraId="0D0F52C4" w14:textId="57FC017B" w:rsidR="00840B18" w:rsidRDefault="00840B18">
      <w:hyperlink r:id="rId10" w:history="1">
        <w:r w:rsidRPr="00F575BF">
          <w:rPr>
            <w:rStyle w:val="Hyperlink"/>
          </w:rPr>
          <w:t>https://www.canlii.org/en/on/onca/doc/2017/2017onca994/2017onca994.html?autocompleteStr=r%20v%20sanchez&amp;autocompletePos=3</w:t>
        </w:r>
      </w:hyperlink>
    </w:p>
    <w:p w14:paraId="62AC24B6" w14:textId="01095049" w:rsidR="002D4DC2" w:rsidRDefault="002D4DC2"/>
    <w:p w14:paraId="12912461" w14:textId="27638368" w:rsidR="00E3654B" w:rsidRPr="00015CC6" w:rsidRDefault="00EC63BA">
      <w:pPr>
        <w:rPr>
          <w:b/>
          <w:bCs/>
        </w:rPr>
      </w:pPr>
      <w:r>
        <w:rPr>
          <w:b/>
          <w:bCs/>
        </w:rPr>
        <w:t>Unit</w:t>
      </w:r>
      <w:r w:rsidR="002D4DC2">
        <w:rPr>
          <w:b/>
          <w:bCs/>
        </w:rPr>
        <w:t xml:space="preserve"> 3 Readings </w:t>
      </w:r>
      <w:r w:rsidR="000A5D73">
        <w:t xml:space="preserve"> </w:t>
      </w:r>
    </w:p>
    <w:p w14:paraId="017CCE68" w14:textId="29FD5C4C" w:rsidR="00EC3E06" w:rsidRPr="00015CC6" w:rsidRDefault="0099091C" w:rsidP="00015CC6">
      <w:pPr>
        <w:spacing w:line="240" w:lineRule="auto"/>
        <w:rPr>
          <w:rFonts w:cstheme="minorHAnsi"/>
        </w:rPr>
      </w:pPr>
      <w:bookmarkStart w:id="0" w:name="_Hlk83017748"/>
      <w:r>
        <w:rPr>
          <w:rFonts w:cstheme="minorHAnsi"/>
        </w:rPr>
        <w:t xml:space="preserve">See sections 175, 266, 344, 235, </w:t>
      </w:r>
      <w:r w:rsidR="005237B1">
        <w:rPr>
          <w:rFonts w:cstheme="minorHAnsi"/>
        </w:rPr>
        <w:t xml:space="preserve">787.1, </w:t>
      </w:r>
      <w:r>
        <w:rPr>
          <w:rFonts w:cstheme="minorHAnsi"/>
        </w:rPr>
        <w:t>469, 553</w:t>
      </w:r>
      <w:bookmarkEnd w:id="0"/>
      <w:r>
        <w:rPr>
          <w:rFonts w:cstheme="minorHAnsi"/>
        </w:rPr>
        <w:t xml:space="preserve"> of the </w:t>
      </w:r>
      <w:r w:rsidRPr="008D604D">
        <w:rPr>
          <w:rFonts w:cstheme="minorHAnsi"/>
          <w:i/>
          <w:iCs/>
        </w:rPr>
        <w:t>Criminal Code</w:t>
      </w:r>
      <w:r>
        <w:rPr>
          <w:rFonts w:cstheme="minorHAnsi"/>
        </w:rPr>
        <w:t xml:space="preserve"> for examples</w:t>
      </w:r>
      <w:r w:rsidR="00A9544A">
        <w:rPr>
          <w:rFonts w:cstheme="minorHAnsi"/>
        </w:rPr>
        <w:t xml:space="preserve"> of </w:t>
      </w:r>
      <w:r w:rsidR="00694076">
        <w:rPr>
          <w:rFonts w:cstheme="minorHAnsi"/>
        </w:rPr>
        <w:t>summary, hybrid and indictable offences</w:t>
      </w:r>
      <w:r>
        <w:rPr>
          <w:rFonts w:cstheme="minorHAnsi"/>
        </w:rPr>
        <w:t xml:space="preserve"> and for absolute jurisdiction of the Provincial or Supreme Court</w:t>
      </w:r>
      <w:r w:rsidR="00CE4465">
        <w:t xml:space="preserve"> </w:t>
      </w:r>
    </w:p>
    <w:p w14:paraId="7A83CF56" w14:textId="58F50720" w:rsidR="00CE4465" w:rsidRDefault="00E05034">
      <w:r>
        <w:t xml:space="preserve">Section 494 &amp; 495 of the </w:t>
      </w:r>
      <w:r w:rsidRPr="00E05034">
        <w:rPr>
          <w:i/>
          <w:iCs/>
        </w:rPr>
        <w:t>Criminal Code</w:t>
      </w:r>
      <w:r>
        <w:t xml:space="preserve"> </w:t>
      </w:r>
    </w:p>
    <w:p w14:paraId="08D1FD0A" w14:textId="515C9B7B" w:rsidR="00C713A0" w:rsidRPr="000A5D73" w:rsidRDefault="00C713A0" w:rsidP="00C713A0">
      <w:r>
        <w:t xml:space="preserve">Section 497 </w:t>
      </w:r>
      <w:r w:rsidR="003274C8">
        <w:t>–</w:t>
      </w:r>
      <w:r>
        <w:t xml:space="preserve"> 501</w:t>
      </w:r>
      <w:r w:rsidR="003274C8">
        <w:t xml:space="preserve"> &amp; 503 (1)</w:t>
      </w:r>
      <w:r>
        <w:t xml:space="preserve"> of the </w:t>
      </w:r>
      <w:r w:rsidRPr="00E05034">
        <w:rPr>
          <w:i/>
          <w:iCs/>
        </w:rPr>
        <w:t>Criminal Code</w:t>
      </w:r>
      <w:r>
        <w:t xml:space="preserve"> </w:t>
      </w:r>
    </w:p>
    <w:p w14:paraId="7C51A5A1" w14:textId="77777777" w:rsidR="006D6429" w:rsidRDefault="006D6429">
      <w:pPr>
        <w:rPr>
          <w:b/>
          <w:bCs/>
        </w:rPr>
      </w:pPr>
    </w:p>
    <w:p w14:paraId="31480D5D" w14:textId="79A7C3E6" w:rsidR="003E50AD" w:rsidRDefault="00EC63BA">
      <w:r>
        <w:rPr>
          <w:b/>
          <w:bCs/>
        </w:rPr>
        <w:lastRenderedPageBreak/>
        <w:t>Unit</w:t>
      </w:r>
      <w:r w:rsidR="003E50AD" w:rsidRPr="003E50AD">
        <w:rPr>
          <w:b/>
          <w:bCs/>
        </w:rPr>
        <w:t xml:space="preserve"> 4 Readings</w:t>
      </w:r>
    </w:p>
    <w:p w14:paraId="40AE75A6" w14:textId="0789D262" w:rsidR="00191D1C" w:rsidRDefault="00E2331A" w:rsidP="00E2331A">
      <w:r>
        <w:t>Boucher v. The Queen (1954) CanLII 3 (SCC)</w:t>
      </w:r>
    </w:p>
    <w:p w14:paraId="4D58A9A1" w14:textId="77777777" w:rsidR="00A27400" w:rsidRDefault="00A27400" w:rsidP="00E2331A"/>
    <w:p w14:paraId="513F7678" w14:textId="252BF42C" w:rsidR="00822A59" w:rsidRDefault="00822A59" w:rsidP="00822A59">
      <w:r>
        <w:t xml:space="preserve">Crown Counsel Act [RSBC 1996] Chapter 87, section 4 </w:t>
      </w:r>
      <w:hyperlink r:id="rId11" w:history="1">
        <w:r w:rsidR="00A518B8" w:rsidRPr="004868C7">
          <w:rPr>
            <w:rStyle w:val="Hyperlink"/>
          </w:rPr>
          <w:t>https://www.bclaws.gov.bc.ca/civix/document/id/complete/statreg/96087_01</w:t>
        </w:r>
      </w:hyperlink>
    </w:p>
    <w:p w14:paraId="41F1031C" w14:textId="77777777" w:rsidR="00A518B8" w:rsidRDefault="00A518B8" w:rsidP="00822A59"/>
    <w:p w14:paraId="56FEE18B" w14:textId="77777777" w:rsidR="00A518B8" w:rsidRDefault="00822A59" w:rsidP="00822A59">
      <w:r>
        <w:t xml:space="preserve">Crown Counsel Charge Assessment Guidelines </w:t>
      </w:r>
    </w:p>
    <w:p w14:paraId="0AB0B8FB" w14:textId="6BD780E7" w:rsidR="00822A59" w:rsidRDefault="00191D1C" w:rsidP="00822A59">
      <w:hyperlink r:id="rId12" w:history="1">
        <w:r w:rsidRPr="004868C7">
          <w:rPr>
            <w:rStyle w:val="Hyperlink"/>
          </w:rPr>
          <w:t>https://www2.gov.bc.ca/assets/gov/law-crime-and-justice/criminal-justice/prosecution-service/crown-counsel-policy-manual/cha-1-charge-assessment-guidelines.pdf</w:t>
        </w:r>
      </w:hyperlink>
    </w:p>
    <w:p w14:paraId="6F4FC4FF" w14:textId="77777777" w:rsidR="008A3C98" w:rsidRDefault="008A3C98" w:rsidP="005B7048"/>
    <w:p w14:paraId="2E72C162" w14:textId="418D9311" w:rsidR="005B7048" w:rsidRDefault="005B7048" w:rsidP="005B7048">
      <w:r>
        <w:t xml:space="preserve">Role of Counsel: see </w:t>
      </w:r>
      <w:r w:rsidRPr="00CA3FC9">
        <w:rPr>
          <w:i/>
          <w:iCs/>
        </w:rPr>
        <w:t>Code of Professional Conduct</w:t>
      </w:r>
      <w:r>
        <w:t xml:space="preserve"> – Chapter 5 </w:t>
      </w:r>
    </w:p>
    <w:p w14:paraId="5953556F" w14:textId="464C0B3E" w:rsidR="00191D1C" w:rsidRDefault="00C23ADB" w:rsidP="00822A59">
      <w:hyperlink r:id="rId13" w:history="1">
        <w:r w:rsidRPr="00C23ADB">
          <w:rPr>
            <w:rStyle w:val="Hyperlink"/>
          </w:rPr>
          <w:t>Chapter 5 – Relationship to the Administration of Justice (lawsociety.bc.ca)</w:t>
        </w:r>
      </w:hyperlink>
    </w:p>
    <w:p w14:paraId="0B2EC149" w14:textId="77777777" w:rsidR="00C23ADB" w:rsidRDefault="00C23ADB" w:rsidP="00822A59"/>
    <w:p w14:paraId="0F231DEB" w14:textId="46E8D34C" w:rsidR="00822A59" w:rsidRDefault="00E54EF5" w:rsidP="00E2331A">
      <w:r>
        <w:t xml:space="preserve">Fitness </w:t>
      </w:r>
      <w:r w:rsidR="00A96F69">
        <w:rPr>
          <w:i/>
          <w:iCs/>
        </w:rPr>
        <w:t>C</w:t>
      </w:r>
      <w:r w:rsidR="003D3E55" w:rsidRPr="00A96F69">
        <w:rPr>
          <w:i/>
          <w:iCs/>
        </w:rPr>
        <w:t xml:space="preserve">riminal </w:t>
      </w:r>
      <w:r w:rsidR="00A96F69">
        <w:rPr>
          <w:i/>
          <w:iCs/>
        </w:rPr>
        <w:t>C</w:t>
      </w:r>
      <w:r w:rsidR="003D3E55" w:rsidRPr="00A96F69">
        <w:rPr>
          <w:i/>
          <w:iCs/>
        </w:rPr>
        <w:t>ode</w:t>
      </w:r>
      <w:r w:rsidR="003D3E55">
        <w:t xml:space="preserve"> </w:t>
      </w:r>
      <w:r>
        <w:t xml:space="preserve">sections </w:t>
      </w:r>
      <w:r w:rsidR="00857205">
        <w:t>672</w:t>
      </w:r>
      <w:r w:rsidR="00763EA9">
        <w:t>.1 (1)</w:t>
      </w:r>
      <w:r w:rsidR="008825E9">
        <w:t xml:space="preserve"> definitions</w:t>
      </w:r>
      <w:r w:rsidR="003D2824">
        <w:t xml:space="preserve"> &amp; s.</w:t>
      </w:r>
      <w:r>
        <w:t xml:space="preserve">672.22 </w:t>
      </w:r>
    </w:p>
    <w:p w14:paraId="0BA3308B" w14:textId="77777777" w:rsidR="00C12C8C" w:rsidRDefault="00C12C8C" w:rsidP="00E2331A"/>
    <w:p w14:paraId="0FA8C821" w14:textId="6B1B268F" w:rsidR="008825E9" w:rsidRDefault="008825E9" w:rsidP="00E2331A">
      <w:r>
        <w:t xml:space="preserve">Section 2 </w:t>
      </w:r>
      <w:r w:rsidRPr="008825E9">
        <w:rPr>
          <w:i/>
          <w:iCs/>
        </w:rPr>
        <w:t>Criminal Code</w:t>
      </w:r>
      <w:r>
        <w:t xml:space="preserve"> definition of “unfit to stand trial”</w:t>
      </w:r>
    </w:p>
    <w:p w14:paraId="5BDE7571" w14:textId="77777777" w:rsidR="00C12C8C" w:rsidRDefault="00C12C8C" w:rsidP="00C12C8C">
      <w:pPr>
        <w:shd w:val="clear" w:color="auto" w:fill="FFFFFF"/>
        <w:spacing w:before="120" w:after="173" w:line="240" w:lineRule="auto"/>
        <w:rPr>
          <w:rFonts w:eastAsia="Times New Roman" w:cstheme="minorHAnsi"/>
          <w:color w:val="333333"/>
          <w:lang w:val="en-US"/>
        </w:rPr>
      </w:pPr>
    </w:p>
    <w:p w14:paraId="6DDAEA8F" w14:textId="0E89E9E3" w:rsidR="00C12C8C" w:rsidRPr="00417191" w:rsidRDefault="00C12C8C" w:rsidP="00C12C8C">
      <w:pPr>
        <w:shd w:val="clear" w:color="auto" w:fill="FFFFFF"/>
        <w:spacing w:before="120" w:after="173" w:line="240" w:lineRule="auto"/>
        <w:rPr>
          <w:rFonts w:eastAsia="Times New Roman" w:cstheme="minorHAnsi"/>
          <w:color w:val="333333"/>
          <w:lang w:val="en-US"/>
        </w:rPr>
      </w:pPr>
      <w:r w:rsidRPr="0087632D">
        <w:rPr>
          <w:rFonts w:eastAsia="Times New Roman" w:cstheme="minorHAnsi"/>
          <w:color w:val="333333"/>
          <w:lang w:val="en-US"/>
        </w:rPr>
        <w:t>R. v. Taylor, 1992 CanLII 7412 (ON CA)</w:t>
      </w:r>
      <w:r>
        <w:rPr>
          <w:rFonts w:eastAsia="Times New Roman" w:cstheme="minorHAnsi"/>
          <w:color w:val="333333"/>
          <w:lang w:val="en-US"/>
        </w:rPr>
        <w:t xml:space="preserve">  - headnote only </w:t>
      </w:r>
    </w:p>
    <w:p w14:paraId="4A77B801" w14:textId="19E7A5BE" w:rsidR="00C12C8C" w:rsidRDefault="00C12C8C" w:rsidP="00E2331A"/>
    <w:p w14:paraId="66CE24C4" w14:textId="591320D5" w:rsidR="0012007A" w:rsidRDefault="00F701C6" w:rsidP="00E2331A">
      <w:r w:rsidRPr="00F701C6">
        <w:rPr>
          <w:i/>
          <w:iCs/>
        </w:rPr>
        <w:t>Criminal Code</w:t>
      </w:r>
      <w:r>
        <w:rPr>
          <w:i/>
          <w:iCs/>
        </w:rPr>
        <w:t xml:space="preserve"> </w:t>
      </w:r>
      <w:r>
        <w:t>section</w:t>
      </w:r>
      <w:r w:rsidR="008E4B46">
        <w:t>s 515 (2), 515</w:t>
      </w:r>
      <w:r w:rsidR="00F7375D">
        <w:t xml:space="preserve"> (10) &amp; 515 (4) </w:t>
      </w:r>
    </w:p>
    <w:p w14:paraId="4DDF6059" w14:textId="0D800F6D" w:rsidR="0018175A" w:rsidRDefault="0018175A" w:rsidP="00E2331A"/>
    <w:p w14:paraId="04DC7AF4" w14:textId="5A6FED52" w:rsidR="0018175A" w:rsidRDefault="00EC63BA" w:rsidP="00E2331A">
      <w:pPr>
        <w:rPr>
          <w:b/>
          <w:bCs/>
        </w:rPr>
      </w:pPr>
      <w:r>
        <w:rPr>
          <w:b/>
          <w:bCs/>
        </w:rPr>
        <w:t>Unit</w:t>
      </w:r>
      <w:r w:rsidR="0018175A">
        <w:rPr>
          <w:b/>
          <w:bCs/>
        </w:rPr>
        <w:t xml:space="preserve"> 5 Readings </w:t>
      </w:r>
    </w:p>
    <w:p w14:paraId="3BCF5081" w14:textId="77777777" w:rsidR="0021618F" w:rsidRDefault="0021618F" w:rsidP="0021618F">
      <w:pPr>
        <w:rPr>
          <w:rFonts w:eastAsia="Times New Roman" w:cstheme="minorHAnsi"/>
          <w:color w:val="333333"/>
          <w:lang w:val="en-US"/>
        </w:rPr>
      </w:pPr>
      <w:r w:rsidRPr="004E34EA">
        <w:rPr>
          <w:rFonts w:eastAsia="Times New Roman" w:cstheme="minorHAnsi"/>
          <w:color w:val="333333"/>
          <w:lang w:val="en-US"/>
        </w:rPr>
        <w:t>R. v. Stinchcombe, 1991 CanLII 45 (SCC)</w:t>
      </w:r>
      <w:r>
        <w:rPr>
          <w:rFonts w:eastAsia="Times New Roman" w:cstheme="minorHAnsi"/>
          <w:color w:val="333333"/>
          <w:lang w:val="en-US"/>
        </w:rPr>
        <w:t xml:space="preserve"> – headnote only </w:t>
      </w:r>
    </w:p>
    <w:p w14:paraId="39E3A41A" w14:textId="77777777" w:rsidR="00B831C2" w:rsidRDefault="00B831C2" w:rsidP="0018175A">
      <w:pPr>
        <w:rPr>
          <w:lang w:val="en-US"/>
        </w:rPr>
      </w:pPr>
    </w:p>
    <w:p w14:paraId="026C76EB" w14:textId="344AEFF0" w:rsidR="003B0AE4" w:rsidRPr="00373A2F" w:rsidRDefault="00CF4B50" w:rsidP="0018175A">
      <w:pPr>
        <w:rPr>
          <w:lang w:val="en-US"/>
        </w:rPr>
      </w:pPr>
      <w:r w:rsidRPr="00CF4B50">
        <w:rPr>
          <w:lang w:val="en-US"/>
        </w:rPr>
        <w:t>R. v. McNeil, 2009 SCC 3</w:t>
      </w:r>
      <w:r w:rsidR="00373A2F">
        <w:rPr>
          <w:lang w:val="en-US"/>
        </w:rPr>
        <w:t xml:space="preserve"> – headnote only </w:t>
      </w:r>
    </w:p>
    <w:p w14:paraId="4C28EB43" w14:textId="77777777" w:rsidR="00B831C2" w:rsidRDefault="00B831C2" w:rsidP="0018175A">
      <w:pPr>
        <w:rPr>
          <w:i/>
          <w:iCs/>
          <w:lang w:val="en-US"/>
        </w:rPr>
      </w:pPr>
    </w:p>
    <w:p w14:paraId="593CE480" w14:textId="6D1B5215" w:rsidR="0018175A" w:rsidRDefault="0018175A" w:rsidP="0018175A">
      <w:pPr>
        <w:rPr>
          <w:lang w:val="en-US"/>
        </w:rPr>
      </w:pPr>
      <w:r w:rsidRPr="00E63838">
        <w:rPr>
          <w:i/>
          <w:iCs/>
          <w:lang w:val="en-US"/>
        </w:rPr>
        <w:t>Criminal Code</w:t>
      </w:r>
      <w:r>
        <w:rPr>
          <w:lang w:val="en-US"/>
        </w:rPr>
        <w:t xml:space="preserve"> sections 606 and 801 </w:t>
      </w:r>
    </w:p>
    <w:p w14:paraId="2D32A086" w14:textId="77777777" w:rsidR="00B831C2" w:rsidRDefault="00B831C2" w:rsidP="0018175A">
      <w:pPr>
        <w:rPr>
          <w:i/>
          <w:iCs/>
          <w:lang w:val="en-US"/>
        </w:rPr>
      </w:pPr>
    </w:p>
    <w:p w14:paraId="1016D8AC" w14:textId="58D63817" w:rsidR="0018175A" w:rsidRDefault="0018175A" w:rsidP="0018175A">
      <w:pPr>
        <w:rPr>
          <w:lang w:val="en-US"/>
        </w:rPr>
      </w:pPr>
      <w:r w:rsidRPr="00E63838">
        <w:rPr>
          <w:i/>
          <w:iCs/>
          <w:lang w:val="en-US"/>
        </w:rPr>
        <w:t>Criminal Code</w:t>
      </w:r>
      <w:r>
        <w:rPr>
          <w:lang w:val="en-US"/>
        </w:rPr>
        <w:t xml:space="preserve"> sections 535 and 536</w:t>
      </w:r>
    </w:p>
    <w:p w14:paraId="15A41D7E" w14:textId="77777777" w:rsidR="00B831C2" w:rsidRDefault="00B831C2" w:rsidP="0018175A">
      <w:pPr>
        <w:rPr>
          <w:i/>
          <w:iCs/>
          <w:lang w:val="en-US"/>
        </w:rPr>
      </w:pPr>
    </w:p>
    <w:p w14:paraId="5782ED9D" w14:textId="0A450A2D" w:rsidR="0018175A" w:rsidRPr="006B309B" w:rsidRDefault="0018175A" w:rsidP="0018175A">
      <w:pPr>
        <w:rPr>
          <w:b/>
          <w:bCs/>
          <w:u w:val="single"/>
        </w:rPr>
      </w:pPr>
      <w:r w:rsidRPr="00E63838">
        <w:rPr>
          <w:i/>
          <w:iCs/>
          <w:lang w:val="en-US"/>
        </w:rPr>
        <w:t>Criminal Code</w:t>
      </w:r>
      <w:r>
        <w:rPr>
          <w:lang w:val="en-US"/>
        </w:rPr>
        <w:t xml:space="preserve"> section 548 (1)</w:t>
      </w:r>
    </w:p>
    <w:p w14:paraId="648B90BF" w14:textId="77777777" w:rsidR="0018175A" w:rsidRPr="0018175A" w:rsidRDefault="0018175A" w:rsidP="00E2331A">
      <w:pPr>
        <w:rPr>
          <w:b/>
          <w:bCs/>
        </w:rPr>
      </w:pPr>
    </w:p>
    <w:p w14:paraId="6DCEC2F3" w14:textId="0B532501" w:rsidR="00F7375D" w:rsidRDefault="00EC63BA" w:rsidP="00E2331A">
      <w:pPr>
        <w:rPr>
          <w:b/>
          <w:bCs/>
        </w:rPr>
      </w:pPr>
      <w:r>
        <w:rPr>
          <w:b/>
          <w:bCs/>
        </w:rPr>
        <w:t>Unit</w:t>
      </w:r>
      <w:r w:rsidR="00B831C2" w:rsidRPr="00B831C2">
        <w:rPr>
          <w:b/>
          <w:bCs/>
        </w:rPr>
        <w:t xml:space="preserve"> 7 Readings</w:t>
      </w:r>
    </w:p>
    <w:p w14:paraId="63A3AF34" w14:textId="1ADE9074" w:rsidR="00B831C2" w:rsidRDefault="00675F7D" w:rsidP="00E2331A">
      <w:r w:rsidRPr="00102E87">
        <w:rPr>
          <w:i/>
          <w:iCs/>
        </w:rPr>
        <w:t>Criminal Code</w:t>
      </w:r>
      <w:r>
        <w:t xml:space="preserve"> section </w:t>
      </w:r>
      <w:r w:rsidR="006E0B11">
        <w:t>698</w:t>
      </w:r>
      <w:r w:rsidR="00FD577C">
        <w:t xml:space="preserve"> </w:t>
      </w:r>
    </w:p>
    <w:p w14:paraId="07522005" w14:textId="74A30DD2" w:rsidR="006E0B11" w:rsidRDefault="006E0B11" w:rsidP="00E2331A"/>
    <w:p w14:paraId="2E561F5C" w14:textId="4554DC84" w:rsidR="006E0B11" w:rsidRDefault="0083209C" w:rsidP="00E2331A">
      <w:r w:rsidRPr="00102E87">
        <w:rPr>
          <w:i/>
          <w:iCs/>
        </w:rPr>
        <w:t>Criminal Code</w:t>
      </w:r>
      <w:r>
        <w:t xml:space="preserve"> section 700.1</w:t>
      </w:r>
    </w:p>
    <w:p w14:paraId="639C9835" w14:textId="09880472" w:rsidR="00102E87" w:rsidRDefault="00102E87" w:rsidP="00E2331A"/>
    <w:p w14:paraId="421F3F10" w14:textId="75D521AB" w:rsidR="00102E87" w:rsidRPr="00675F7D" w:rsidRDefault="00102E87" w:rsidP="00E2331A">
      <w:r w:rsidRPr="00102E87">
        <w:rPr>
          <w:rFonts w:eastAsia="Times New Roman" w:cstheme="minorHAnsi"/>
          <w:i/>
          <w:iCs/>
          <w:lang w:val="en-US"/>
        </w:rPr>
        <w:t>Criminal Code</w:t>
      </w:r>
      <w:r w:rsidRPr="00985B92">
        <w:rPr>
          <w:rFonts w:eastAsia="Times New Roman" w:cstheme="minorHAnsi"/>
          <w:i/>
          <w:iCs/>
          <w:lang w:val="en-US"/>
        </w:rPr>
        <w:t xml:space="preserve"> sections 486, 486.1, 486.2, 486.3</w:t>
      </w:r>
      <w:r w:rsidR="007A3B6A">
        <w:rPr>
          <w:rFonts w:eastAsia="Times New Roman" w:cstheme="minorHAnsi"/>
          <w:i/>
          <w:iCs/>
          <w:lang w:val="en-US"/>
        </w:rPr>
        <w:t>, 486.4, 486.5</w:t>
      </w:r>
    </w:p>
    <w:p w14:paraId="6AE6854B" w14:textId="1C7B6E5B" w:rsidR="00F7375D" w:rsidRDefault="00F7375D" w:rsidP="00E2331A"/>
    <w:p w14:paraId="46454A10" w14:textId="4ADEA4DC" w:rsidR="000C7F8B" w:rsidRDefault="007A3B6A" w:rsidP="00E2331A">
      <w:r>
        <w:t xml:space="preserve">Canadian </w:t>
      </w:r>
      <w:r w:rsidR="000C7F8B" w:rsidRPr="007A3B6A">
        <w:rPr>
          <w:i/>
          <w:iCs/>
        </w:rPr>
        <w:t>Charter of Rights and Freedoms</w:t>
      </w:r>
      <w:r w:rsidR="000C7F8B">
        <w:t xml:space="preserve"> section 14 </w:t>
      </w:r>
    </w:p>
    <w:p w14:paraId="5A675D5E" w14:textId="4A75C9FF" w:rsidR="001B0C32" w:rsidRDefault="001B0C32" w:rsidP="00E2331A"/>
    <w:p w14:paraId="23D3163A" w14:textId="27E2D642" w:rsidR="001B0C32" w:rsidRDefault="001B0C32" w:rsidP="00E2331A">
      <w:r w:rsidRPr="001B0C32">
        <w:t xml:space="preserve">Canada </w:t>
      </w:r>
      <w:r w:rsidRPr="001B0C32">
        <w:rPr>
          <w:i/>
          <w:iCs/>
        </w:rPr>
        <w:t>Evidence Act</w:t>
      </w:r>
      <w:r w:rsidRPr="001B0C32">
        <w:t xml:space="preserve"> sections 5, 6, 6.1, 9 - 16.1</w:t>
      </w:r>
    </w:p>
    <w:p w14:paraId="44426244" w14:textId="41C09EB3" w:rsidR="00D82E96" w:rsidRDefault="00D82E96" w:rsidP="00E2331A"/>
    <w:p w14:paraId="15950442" w14:textId="61291C48" w:rsidR="00D82E96" w:rsidRDefault="00D82E96" w:rsidP="00E2331A">
      <w:pPr>
        <w:rPr>
          <w:rFonts w:eastAsia="Times New Roman" w:cstheme="minorHAnsi"/>
          <w:i/>
          <w:iCs/>
          <w:lang w:val="en-US"/>
        </w:rPr>
      </w:pPr>
      <w:r w:rsidRPr="00985B92">
        <w:rPr>
          <w:rFonts w:eastAsia="Times New Roman" w:cstheme="minorHAnsi"/>
          <w:i/>
          <w:iCs/>
          <w:lang w:val="en-US"/>
        </w:rPr>
        <w:t xml:space="preserve">Criminal Code </w:t>
      </w:r>
      <w:r w:rsidRPr="00DB5D37">
        <w:rPr>
          <w:rFonts w:eastAsia="Times New Roman" w:cstheme="minorHAnsi"/>
          <w:lang w:val="en-US"/>
        </w:rPr>
        <w:t>sections</w:t>
      </w:r>
      <w:r w:rsidRPr="00985B92">
        <w:rPr>
          <w:rFonts w:eastAsia="Times New Roman" w:cstheme="minorHAnsi"/>
          <w:i/>
          <w:iCs/>
          <w:lang w:val="en-US"/>
        </w:rPr>
        <w:t xml:space="preserve"> 714.1 – 715.2</w:t>
      </w:r>
    </w:p>
    <w:p w14:paraId="012ED339" w14:textId="7C69D5BF" w:rsidR="00214EB8" w:rsidRDefault="00214EB8" w:rsidP="00E2331A">
      <w:pPr>
        <w:rPr>
          <w:rFonts w:eastAsia="Times New Roman" w:cstheme="minorHAnsi"/>
          <w:i/>
          <w:iCs/>
          <w:lang w:val="en-US"/>
        </w:rPr>
      </w:pPr>
    </w:p>
    <w:p w14:paraId="0339E864" w14:textId="1BA1C55E" w:rsidR="00214EB8" w:rsidRDefault="00214EB8" w:rsidP="00E2331A">
      <w:pPr>
        <w:rPr>
          <w:rFonts w:eastAsia="Times New Roman" w:cstheme="minorHAnsi"/>
          <w:i/>
          <w:lang w:val="en-US"/>
        </w:rPr>
      </w:pPr>
      <w:r w:rsidRPr="002E371D">
        <w:rPr>
          <w:rFonts w:eastAsia="Times New Roman" w:cstheme="minorHAnsi"/>
          <w:i/>
          <w:lang w:val="en-US"/>
        </w:rPr>
        <w:t>Criminal Code</w:t>
      </w:r>
      <w:r w:rsidRPr="00214EB8">
        <w:rPr>
          <w:rFonts w:eastAsia="Times New Roman" w:cstheme="minorHAnsi"/>
          <w:iCs/>
          <w:lang w:val="en-US"/>
        </w:rPr>
        <w:t xml:space="preserve"> section</w:t>
      </w:r>
      <w:r w:rsidRPr="002E371D">
        <w:rPr>
          <w:rFonts w:eastAsia="Times New Roman" w:cstheme="minorHAnsi"/>
          <w:i/>
          <w:lang w:val="en-US"/>
        </w:rPr>
        <w:t xml:space="preserve"> 577</w:t>
      </w:r>
    </w:p>
    <w:p w14:paraId="281D6D48" w14:textId="0BF63D99" w:rsidR="00B61251" w:rsidRDefault="00B61251" w:rsidP="00E2331A">
      <w:pPr>
        <w:rPr>
          <w:rFonts w:eastAsia="Times New Roman" w:cstheme="minorHAnsi"/>
          <w:iCs/>
          <w:lang w:val="en-US"/>
        </w:rPr>
      </w:pPr>
    </w:p>
    <w:p w14:paraId="00A5D347" w14:textId="19B4F3EE" w:rsidR="00B61251" w:rsidRDefault="00B61251" w:rsidP="00E2331A">
      <w:pPr>
        <w:rPr>
          <w:iCs/>
        </w:rPr>
      </w:pPr>
      <w:r w:rsidRPr="00B61251">
        <w:rPr>
          <w:iCs/>
        </w:rPr>
        <w:t>R. v. Jordan, 2016 SCC 27 (CanLII)</w:t>
      </w:r>
      <w:r>
        <w:rPr>
          <w:iCs/>
        </w:rPr>
        <w:t xml:space="preserve"> – headnote only </w:t>
      </w:r>
    </w:p>
    <w:p w14:paraId="4DFEBAE4" w14:textId="405496F8" w:rsidR="00F80F20" w:rsidRDefault="00F80F20" w:rsidP="00E2331A">
      <w:pPr>
        <w:rPr>
          <w:iCs/>
        </w:rPr>
      </w:pPr>
    </w:p>
    <w:p w14:paraId="08306F48" w14:textId="290570ED" w:rsidR="00F80F20" w:rsidRDefault="00F80F20" w:rsidP="00E2331A">
      <w:pPr>
        <w:rPr>
          <w:rFonts w:eastAsia="Times New Roman" w:cstheme="minorHAnsi"/>
          <w:iCs/>
          <w:lang w:val="en-US"/>
        </w:rPr>
      </w:pPr>
      <w:r w:rsidRPr="002E371D">
        <w:rPr>
          <w:rFonts w:eastAsia="Times New Roman" w:cstheme="minorHAnsi"/>
          <w:i/>
          <w:lang w:val="en-US"/>
        </w:rPr>
        <w:t>Criminal Code</w:t>
      </w:r>
      <w:r w:rsidRPr="00214EB8">
        <w:rPr>
          <w:rFonts w:eastAsia="Times New Roman" w:cstheme="minorHAnsi"/>
          <w:iCs/>
          <w:lang w:val="en-US"/>
        </w:rPr>
        <w:t xml:space="preserve"> section</w:t>
      </w:r>
      <w:r>
        <w:rPr>
          <w:rFonts w:eastAsia="Times New Roman" w:cstheme="minorHAnsi"/>
          <w:iCs/>
          <w:lang w:val="en-US"/>
        </w:rPr>
        <w:t xml:space="preserve"> 16</w:t>
      </w:r>
    </w:p>
    <w:p w14:paraId="50C9F6EF" w14:textId="6F13098F" w:rsidR="00D9651C" w:rsidRDefault="00D9651C" w:rsidP="00E2331A">
      <w:pPr>
        <w:rPr>
          <w:rFonts w:eastAsia="Times New Roman" w:cstheme="minorHAnsi"/>
          <w:iCs/>
          <w:lang w:val="en-US"/>
        </w:rPr>
      </w:pPr>
    </w:p>
    <w:p w14:paraId="4862B1E1" w14:textId="60AF9D52" w:rsidR="00D9651C" w:rsidRDefault="00EC63BA" w:rsidP="00E2331A">
      <w:pPr>
        <w:rPr>
          <w:rFonts w:eastAsia="Times New Roman" w:cstheme="minorHAnsi"/>
          <w:b/>
          <w:bCs/>
          <w:iCs/>
          <w:lang w:val="en-US"/>
        </w:rPr>
      </w:pPr>
      <w:r>
        <w:rPr>
          <w:rFonts w:eastAsia="Times New Roman" w:cstheme="minorHAnsi"/>
          <w:b/>
          <w:bCs/>
          <w:iCs/>
          <w:lang w:val="en-US"/>
        </w:rPr>
        <w:t>Unit</w:t>
      </w:r>
      <w:r w:rsidR="00D9651C" w:rsidRPr="00D9651C">
        <w:rPr>
          <w:rFonts w:eastAsia="Times New Roman" w:cstheme="minorHAnsi"/>
          <w:b/>
          <w:bCs/>
          <w:iCs/>
          <w:lang w:val="en-US"/>
        </w:rPr>
        <w:t xml:space="preserve"> 8</w:t>
      </w:r>
      <w:r w:rsidR="00F30CC5">
        <w:rPr>
          <w:rFonts w:eastAsia="Times New Roman" w:cstheme="minorHAnsi"/>
          <w:b/>
          <w:bCs/>
          <w:iCs/>
          <w:lang w:val="en-US"/>
        </w:rPr>
        <w:t>-9</w:t>
      </w:r>
      <w:r w:rsidR="00D9651C" w:rsidRPr="00D9651C">
        <w:rPr>
          <w:rFonts w:eastAsia="Times New Roman" w:cstheme="minorHAnsi"/>
          <w:b/>
          <w:bCs/>
          <w:iCs/>
          <w:lang w:val="en-US"/>
        </w:rPr>
        <w:t xml:space="preserve"> Readings </w:t>
      </w:r>
    </w:p>
    <w:p w14:paraId="6D11DBDF" w14:textId="77777777" w:rsidR="007D753F" w:rsidRDefault="007D753F" w:rsidP="007D753F">
      <w:r>
        <w:t>In the case:</w:t>
      </w:r>
    </w:p>
    <w:p w14:paraId="612CFA10" w14:textId="77777777" w:rsidR="007D753F" w:rsidRDefault="007D753F" w:rsidP="007D753F">
      <w:r w:rsidRPr="00CA7E8E">
        <w:rPr>
          <w:i/>
          <w:iCs/>
        </w:rPr>
        <w:t>R. v. Turpin,</w:t>
      </w:r>
      <w:r w:rsidRPr="00CA7E8E">
        <w:t xml:space="preserve"> 1989 CanLII 98 (SCC)</w:t>
      </w:r>
    </w:p>
    <w:p w14:paraId="158221FD" w14:textId="77777777" w:rsidR="007D753F" w:rsidRDefault="007D753F" w:rsidP="007D753F">
      <w:r>
        <w:t>Read the following sections in the judgement:</w:t>
      </w:r>
    </w:p>
    <w:p w14:paraId="3C5EA926" w14:textId="77777777" w:rsidR="007D753F" w:rsidRDefault="007D753F" w:rsidP="007D753F">
      <w:pPr>
        <w:spacing w:before="100" w:beforeAutospacing="1" w:after="100" w:afterAutospacing="1"/>
        <w:jc w:val="both"/>
      </w:pPr>
      <w:bookmarkStart w:id="1" w:name="par3"/>
      <w:r>
        <w:rPr>
          <w:spacing w:val="-3"/>
        </w:rPr>
        <w:t>3</w:t>
      </w:r>
      <w:bookmarkEnd w:id="1"/>
      <w:r>
        <w:rPr>
          <w:spacing w:val="-3"/>
        </w:rPr>
        <w:t xml:space="preserve">.  </w:t>
      </w:r>
      <w:r>
        <w:rPr>
          <w:spacing w:val="-3"/>
          <w:u w:val="single"/>
        </w:rPr>
        <w:t>The issues</w:t>
      </w:r>
    </w:p>
    <w:p w14:paraId="168BE02A" w14:textId="77777777" w:rsidR="007D753F" w:rsidRDefault="007D753F" w:rsidP="007D753F">
      <w:pPr>
        <w:spacing w:before="100" w:beforeAutospacing="1" w:after="100" w:afterAutospacing="1"/>
        <w:jc w:val="both"/>
      </w:pPr>
      <w:hyperlink r:id="rId14" w:anchor="sec11paraf_smooth" w:history="1">
        <w:r>
          <w:rPr>
            <w:rStyle w:val="Hyperlink"/>
            <w:rFonts w:ascii="TmsRmn 12pt Italic" w:hAnsi="TmsRmn 12pt Italic"/>
            <w:i/>
            <w:iCs/>
            <w:spacing w:val="-3"/>
          </w:rPr>
          <w:t>Section 11(f)</w:t>
        </w:r>
      </w:hyperlink>
      <w:r>
        <w:rPr>
          <w:rFonts w:ascii="TmsRmn 12pt Italic" w:hAnsi="TmsRmn 12pt Italic"/>
          <w:i/>
          <w:iCs/>
          <w:spacing w:val="-3"/>
        </w:rPr>
        <w:t xml:space="preserve"> of the </w:t>
      </w:r>
      <w:hyperlink r:id="rId15" w:history="1">
        <w:r>
          <w:rPr>
            <w:rStyle w:val="Hyperlink"/>
            <w:rFonts w:ascii="TmsRmn 12pt Italic" w:hAnsi="TmsRmn 12pt Italic"/>
            <w:i/>
            <w:iCs/>
            <w:spacing w:val="-3"/>
          </w:rPr>
          <w:t>Charter</w:t>
        </w:r>
      </w:hyperlink>
    </w:p>
    <w:p w14:paraId="0F235811" w14:textId="77777777" w:rsidR="007D753F" w:rsidRDefault="007D753F" w:rsidP="007D753F">
      <w:r>
        <w:rPr>
          <w:spacing w:val="-3"/>
        </w:rPr>
        <w:lastRenderedPageBreak/>
        <w:t xml:space="preserve">(a)  </w:t>
      </w:r>
      <w:r>
        <w:rPr>
          <w:spacing w:val="-3"/>
          <w:u w:val="single"/>
        </w:rPr>
        <w:t>The "Benefit" of Trial by Jury</w:t>
      </w:r>
    </w:p>
    <w:p w14:paraId="59F64F7A" w14:textId="77777777" w:rsidR="007D753F" w:rsidRPr="00F701C6" w:rsidRDefault="007D753F" w:rsidP="007D753F">
      <w:r>
        <w:rPr>
          <w:spacing w:val="-3"/>
        </w:rPr>
        <w:t xml:space="preserve">(b)  </w:t>
      </w:r>
      <w:r>
        <w:rPr>
          <w:spacing w:val="-3"/>
          <w:u w:val="single"/>
        </w:rPr>
        <w:t>The Doctrine of Waiver</w:t>
      </w:r>
    </w:p>
    <w:p w14:paraId="04F79B30" w14:textId="5A5F7834" w:rsidR="008A17FC" w:rsidRDefault="008A17FC" w:rsidP="00E2331A">
      <w:pPr>
        <w:rPr>
          <w:rFonts w:eastAsia="Times New Roman" w:cstheme="minorHAnsi"/>
          <w:b/>
          <w:bCs/>
          <w:iCs/>
          <w:lang w:val="en-US"/>
        </w:rPr>
      </w:pPr>
    </w:p>
    <w:p w14:paraId="20A7DF76" w14:textId="77777777" w:rsidR="00E64EE6" w:rsidRDefault="00E64EE6" w:rsidP="00E64EE6">
      <w:r w:rsidRPr="004D38FC">
        <w:t>Jury Act, RSBC 1996, c 242</w:t>
      </w:r>
      <w:r>
        <w:t xml:space="preserve"> – sections 2, 3, 3.1, 4-8 </w:t>
      </w:r>
    </w:p>
    <w:p w14:paraId="63346C76" w14:textId="77777777" w:rsidR="00E64EE6" w:rsidRDefault="00E64EE6" w:rsidP="00E64EE6">
      <w:pPr>
        <w:rPr>
          <w:i/>
          <w:iCs/>
        </w:rPr>
      </w:pPr>
    </w:p>
    <w:p w14:paraId="6D31C65A" w14:textId="457D4EC0" w:rsidR="00E64EE6" w:rsidRDefault="00E64EE6" w:rsidP="00E64EE6">
      <w:r w:rsidRPr="00F77F7B">
        <w:rPr>
          <w:i/>
          <w:iCs/>
        </w:rPr>
        <w:t>Criminal Code</w:t>
      </w:r>
      <w:r>
        <w:t>, sections 626, 626.1, 627, 629, 630, 631, 632, 635, 638, 640, 642, 642.1, 643, 644</w:t>
      </w:r>
      <w:r w:rsidR="001D7E5A">
        <w:t>, 647</w:t>
      </w:r>
      <w:r w:rsidR="00191D62">
        <w:t>, 660-662</w:t>
      </w:r>
    </w:p>
    <w:p w14:paraId="29936295" w14:textId="77777777" w:rsidR="00E64EE6" w:rsidRDefault="00E64EE6" w:rsidP="00E64EE6"/>
    <w:p w14:paraId="1639B996" w14:textId="6F4C0BBB" w:rsidR="00E64EE6" w:rsidRPr="00F701C6" w:rsidRDefault="0025183F" w:rsidP="00E64EE6">
      <w:r>
        <w:t>Read the c</w:t>
      </w:r>
      <w:r w:rsidR="00E64EE6">
        <w:t xml:space="preserve">ase excerpts in </w:t>
      </w:r>
      <w:r w:rsidR="00C4194B">
        <w:t>Unit S</w:t>
      </w:r>
      <w:r w:rsidR="00E64EE6">
        <w:t>ummary</w:t>
      </w:r>
      <w:r w:rsidR="00C4194B">
        <w:t xml:space="preserve"> 8/9</w:t>
      </w:r>
      <w:r>
        <w:t xml:space="preserve"> for </w:t>
      </w:r>
      <w:r w:rsidR="00BB6AD9">
        <w:t xml:space="preserve">jury trial materials. </w:t>
      </w:r>
    </w:p>
    <w:p w14:paraId="1B9356CF" w14:textId="77777777" w:rsidR="00E64EE6" w:rsidRDefault="00E64EE6" w:rsidP="00E2331A">
      <w:pPr>
        <w:rPr>
          <w:rFonts w:eastAsia="Times New Roman" w:cstheme="minorHAnsi"/>
          <w:b/>
          <w:bCs/>
          <w:iCs/>
          <w:lang w:val="en-US"/>
        </w:rPr>
      </w:pPr>
    </w:p>
    <w:p w14:paraId="686E4419" w14:textId="0B0FA962" w:rsidR="004124F1" w:rsidRPr="00EC63BA" w:rsidRDefault="00EC63BA" w:rsidP="004124F1">
      <w:pPr>
        <w:rPr>
          <w:b/>
          <w:bCs/>
        </w:rPr>
      </w:pPr>
      <w:r w:rsidRPr="00EC63BA">
        <w:rPr>
          <w:b/>
          <w:bCs/>
        </w:rPr>
        <w:t>Unit</w:t>
      </w:r>
      <w:r w:rsidR="004124F1" w:rsidRPr="00EC63BA">
        <w:rPr>
          <w:b/>
          <w:bCs/>
        </w:rPr>
        <w:t xml:space="preserve"> 10 Readings </w:t>
      </w:r>
    </w:p>
    <w:p w14:paraId="693752D7" w14:textId="77777777" w:rsidR="004124F1" w:rsidRDefault="004124F1" w:rsidP="004124F1"/>
    <w:p w14:paraId="0A71E131" w14:textId="77777777" w:rsidR="004124F1" w:rsidRDefault="004124F1" w:rsidP="004124F1">
      <w:r>
        <w:t xml:space="preserve">Case excerpts from summary </w:t>
      </w:r>
    </w:p>
    <w:p w14:paraId="4DD8DB88" w14:textId="77777777" w:rsidR="004124F1" w:rsidRDefault="004124F1" w:rsidP="004124F1"/>
    <w:p w14:paraId="136ADC3B" w14:textId="77777777" w:rsidR="004124F1" w:rsidRDefault="004124F1" w:rsidP="004124F1">
      <w:r w:rsidRPr="00B37CA5">
        <w:rPr>
          <w:i/>
          <w:iCs/>
        </w:rPr>
        <w:t>Criminal Code</w:t>
      </w:r>
      <w:r>
        <w:t xml:space="preserve"> sections 718, 718.04, 718.1, 718.2, 718.201, 718.3 (4), 721(1), 722 (1), 722 (4)&amp; (5), 726, 726.1, 730, 731, 732, 734.1, 742.1, 717</w:t>
      </w:r>
    </w:p>
    <w:p w14:paraId="058F8586" w14:textId="77777777" w:rsidR="004124F1" w:rsidRDefault="004124F1" w:rsidP="004124F1"/>
    <w:p w14:paraId="6E022118" w14:textId="77777777" w:rsidR="004124F1" w:rsidRDefault="004124F1" w:rsidP="004124F1">
      <w:pPr>
        <w:rPr>
          <w:rFonts w:cstheme="minorHAnsi"/>
          <w:color w:val="000000"/>
        </w:rPr>
      </w:pPr>
      <w:r w:rsidRPr="00576DCB">
        <w:rPr>
          <w:rFonts w:cstheme="minorHAnsi"/>
          <w:i/>
          <w:color w:val="000000"/>
        </w:rPr>
        <w:t>R v. Ipeelee</w:t>
      </w:r>
      <w:r>
        <w:rPr>
          <w:rFonts w:cstheme="minorHAnsi"/>
          <w:i/>
          <w:color w:val="000000"/>
        </w:rPr>
        <w:t>,</w:t>
      </w:r>
      <w:r w:rsidRPr="006D4F5D">
        <w:rPr>
          <w:rFonts w:cstheme="minorHAnsi"/>
          <w:color w:val="000000"/>
        </w:rPr>
        <w:t xml:space="preserve"> 2012 SCC 13</w:t>
      </w:r>
      <w:r>
        <w:rPr>
          <w:rFonts w:cstheme="minorHAnsi"/>
          <w:color w:val="000000"/>
        </w:rPr>
        <w:t xml:space="preserve"> – headnote of majority judgement &amp; paras 57, 60, 66, 67</w:t>
      </w:r>
    </w:p>
    <w:p w14:paraId="290471E0" w14:textId="77777777" w:rsidR="00D9651C" w:rsidRPr="00D9651C" w:rsidRDefault="00D9651C" w:rsidP="00E2331A">
      <w:pPr>
        <w:rPr>
          <w:b/>
          <w:bCs/>
          <w:iCs/>
        </w:rPr>
      </w:pPr>
    </w:p>
    <w:sectPr w:rsidR="00D9651C" w:rsidRPr="00D965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Rmn 12pt 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EF755B"/>
    <w:multiLevelType w:val="hybridMultilevel"/>
    <w:tmpl w:val="97D2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00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EA"/>
    <w:rsid w:val="00015CC6"/>
    <w:rsid w:val="000252A8"/>
    <w:rsid w:val="00051871"/>
    <w:rsid w:val="00070005"/>
    <w:rsid w:val="000A5D73"/>
    <w:rsid w:val="000C7F8B"/>
    <w:rsid w:val="00102E87"/>
    <w:rsid w:val="0012007A"/>
    <w:rsid w:val="001420D0"/>
    <w:rsid w:val="0018175A"/>
    <w:rsid w:val="00191D1C"/>
    <w:rsid w:val="00191D62"/>
    <w:rsid w:val="001B0C32"/>
    <w:rsid w:val="001D7E5A"/>
    <w:rsid w:val="00214EB8"/>
    <w:rsid w:val="0021618F"/>
    <w:rsid w:val="0025183F"/>
    <w:rsid w:val="002D4DC2"/>
    <w:rsid w:val="00315160"/>
    <w:rsid w:val="003274C8"/>
    <w:rsid w:val="00373A2F"/>
    <w:rsid w:val="003B0AE4"/>
    <w:rsid w:val="003B2C0A"/>
    <w:rsid w:val="003D2824"/>
    <w:rsid w:val="003D3E55"/>
    <w:rsid w:val="003E50AD"/>
    <w:rsid w:val="004124F1"/>
    <w:rsid w:val="00457937"/>
    <w:rsid w:val="004742A7"/>
    <w:rsid w:val="005237B1"/>
    <w:rsid w:val="00540B86"/>
    <w:rsid w:val="005B7048"/>
    <w:rsid w:val="00675F7D"/>
    <w:rsid w:val="00694076"/>
    <w:rsid w:val="006D6429"/>
    <w:rsid w:val="006E0B11"/>
    <w:rsid w:val="00763EA9"/>
    <w:rsid w:val="007A3B6A"/>
    <w:rsid w:val="007D753F"/>
    <w:rsid w:val="00822A59"/>
    <w:rsid w:val="0083209C"/>
    <w:rsid w:val="00840B18"/>
    <w:rsid w:val="00844B6E"/>
    <w:rsid w:val="00857205"/>
    <w:rsid w:val="008825E9"/>
    <w:rsid w:val="008A17FC"/>
    <w:rsid w:val="008A3C98"/>
    <w:rsid w:val="008E4B46"/>
    <w:rsid w:val="00986719"/>
    <w:rsid w:val="0099091C"/>
    <w:rsid w:val="00A27400"/>
    <w:rsid w:val="00A422E3"/>
    <w:rsid w:val="00A518B8"/>
    <w:rsid w:val="00A736D3"/>
    <w:rsid w:val="00A9544A"/>
    <w:rsid w:val="00A96F69"/>
    <w:rsid w:val="00B24753"/>
    <w:rsid w:val="00B61251"/>
    <w:rsid w:val="00B831C2"/>
    <w:rsid w:val="00B97CBD"/>
    <w:rsid w:val="00BB6AD9"/>
    <w:rsid w:val="00C12C8C"/>
    <w:rsid w:val="00C23ADB"/>
    <w:rsid w:val="00C35BB6"/>
    <w:rsid w:val="00C4194B"/>
    <w:rsid w:val="00C47C4D"/>
    <w:rsid w:val="00C713A0"/>
    <w:rsid w:val="00C961EA"/>
    <w:rsid w:val="00CC5F96"/>
    <w:rsid w:val="00CD1730"/>
    <w:rsid w:val="00CE4465"/>
    <w:rsid w:val="00CF4B50"/>
    <w:rsid w:val="00D530B5"/>
    <w:rsid w:val="00D82E96"/>
    <w:rsid w:val="00D9651C"/>
    <w:rsid w:val="00DB04C9"/>
    <w:rsid w:val="00DB5D37"/>
    <w:rsid w:val="00DC47C7"/>
    <w:rsid w:val="00E05034"/>
    <w:rsid w:val="00E2331A"/>
    <w:rsid w:val="00E3654B"/>
    <w:rsid w:val="00E54EF5"/>
    <w:rsid w:val="00E64EE6"/>
    <w:rsid w:val="00EC3E06"/>
    <w:rsid w:val="00EC63BA"/>
    <w:rsid w:val="00F21735"/>
    <w:rsid w:val="00F30CC5"/>
    <w:rsid w:val="00F701C6"/>
    <w:rsid w:val="00F7375D"/>
    <w:rsid w:val="00F80BAA"/>
    <w:rsid w:val="00F80F20"/>
    <w:rsid w:val="00FC3FF0"/>
    <w:rsid w:val="00FD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E907"/>
  <w15:chartTrackingRefBased/>
  <w15:docId w15:val="{535F479C-EB9F-4691-9215-BA29168E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1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47C7"/>
    <w:pPr>
      <w:spacing w:after="200" w:line="276" w:lineRule="auto"/>
      <w:ind w:left="72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23A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lii.org/en/ca/scc/doc/2005/2005scc50/2005scc50.html?autocompleteStr=R.%20v.%20Turcotte%2C%202005%20SCC%2050%20(CanLII)&amp;autocompletePos=1" TargetMode="External"/><Relationship Id="rId13" Type="http://schemas.openxmlformats.org/officeDocument/2006/relationships/hyperlink" Target="https://www.lawsociety.bc.ca/for-lawyers/act-rules-and-code/code-of-professional-conduct/chapter-5-%E2%80%93-relationship-to-the-administration-of-justi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lii.org/en/bc/bcsc/doc/1954/1954canlii253/1954canlii253.html?autocompleteStr=Hansard%20Spruce%20Mills%20(Re)%201954%20CanLII%20253%20(BC%20SC)&amp;autocompletePos=1" TargetMode="External"/><Relationship Id="rId12" Type="http://schemas.openxmlformats.org/officeDocument/2006/relationships/hyperlink" Target="https://www2.gov.bc.ca/assets/gov/law-crime-and-justice/criminal-justice/prosecution-service/crown-counsel-policy-manual/cha-1-charge-assessment-guidelines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anlii.org/en/bc/bcsc/doc/2009/2009bcsc285/2009bcsc285.html?autocompleteStr=r%20v%20sipes%20b&amp;autocompletePos=1" TargetMode="External"/><Relationship Id="rId11" Type="http://schemas.openxmlformats.org/officeDocument/2006/relationships/hyperlink" Target="https://www.bclaws.gov.bc.ca/civix/document/id/complete/statreg/96087_01" TargetMode="External"/><Relationship Id="rId5" Type="http://schemas.openxmlformats.org/officeDocument/2006/relationships/hyperlink" Target="https://www.lawsociety.bc.ca/Website/media/Shared/docs/publications/reports/turriff-speech.pdf" TargetMode="External"/><Relationship Id="rId15" Type="http://schemas.openxmlformats.org/officeDocument/2006/relationships/hyperlink" Target="https://www.canlii.org/en/ca/laws/stat/schedule-b-to-the-canada-act-1982-uk-1982-c-11/latest/schedule-b-to-the-canada-act-1982-uk-1982-c-11.html" TargetMode="External"/><Relationship Id="rId10" Type="http://schemas.openxmlformats.org/officeDocument/2006/relationships/hyperlink" Target="https://www.canlii.org/en/on/onca/doc/2017/2017onca994/2017onca994.html?autocompleteStr=r%20v%20sanchez&amp;autocompletePos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lii.org/en/ca/scc/doc/1997/1997canlii319/1997canlii319.html?autocompleteStr=R.%20v.%20Lifchus%2C%201997%20CanLII%20319%20(SCC&amp;autocompletePos=1" TargetMode="External"/><Relationship Id="rId14" Type="http://schemas.openxmlformats.org/officeDocument/2006/relationships/hyperlink" Target="https://www.canlii.org/en/ca/laws/stat/schedule-b-to-the-canada-act-1982-uk-1982-c-11/latest/schedule-b-to-the-canada-act-1982-uk-1982-c-1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4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Johnson</dc:creator>
  <cp:keywords/>
  <dc:description/>
  <cp:lastModifiedBy>Ryan Johnson</cp:lastModifiedBy>
  <cp:revision>86</cp:revision>
  <dcterms:created xsi:type="dcterms:W3CDTF">2022-08-22T19:37:00Z</dcterms:created>
  <dcterms:modified xsi:type="dcterms:W3CDTF">2024-10-28T22:04:00Z</dcterms:modified>
</cp:coreProperties>
</file>