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33116" w14:textId="524A1D4B" w:rsidR="007D6F5F" w:rsidRPr="00391BE3" w:rsidRDefault="00391BE3" w:rsidP="00391BE3">
      <w:pPr>
        <w:jc w:val="center"/>
        <w:rPr>
          <w:b/>
          <w:bCs/>
        </w:rPr>
      </w:pPr>
      <w:r w:rsidRPr="00391BE3">
        <w:rPr>
          <w:b/>
          <w:bCs/>
        </w:rPr>
        <w:t xml:space="preserve">FSCT 7002 Evidence </w:t>
      </w:r>
    </w:p>
    <w:p w14:paraId="0052AA2A" w14:textId="66D0EC76" w:rsidR="00391BE3" w:rsidRDefault="00391BE3" w:rsidP="00391BE3">
      <w:pPr>
        <w:jc w:val="center"/>
        <w:rPr>
          <w:b/>
          <w:bCs/>
        </w:rPr>
      </w:pPr>
      <w:r w:rsidRPr="00391BE3">
        <w:rPr>
          <w:b/>
          <w:bCs/>
        </w:rPr>
        <w:t xml:space="preserve">Unit 5 Summary </w:t>
      </w:r>
    </w:p>
    <w:p w14:paraId="780C5902" w14:textId="0CBFA262" w:rsidR="00391BE3" w:rsidRDefault="00391BE3" w:rsidP="00391BE3">
      <w:pPr>
        <w:jc w:val="center"/>
        <w:rPr>
          <w:b/>
          <w:bCs/>
        </w:rPr>
      </w:pPr>
    </w:p>
    <w:p w14:paraId="1AF1DF64" w14:textId="5C541326" w:rsidR="00807539" w:rsidRDefault="00807539" w:rsidP="00391BE3">
      <w:pPr>
        <w:rPr>
          <w:b/>
          <w:bCs/>
        </w:rPr>
      </w:pPr>
      <w:r>
        <w:rPr>
          <w:b/>
          <w:bCs/>
        </w:rPr>
        <w:t>The Rule in Browne v Dunn</w:t>
      </w:r>
    </w:p>
    <w:p w14:paraId="206F81B5" w14:textId="28385C71" w:rsidR="009B05DB" w:rsidRPr="009B05DB" w:rsidRDefault="009B05DB" w:rsidP="00391BE3">
      <w:r w:rsidRPr="009B05DB">
        <w:t>Browne v. Dunn, 1893 CanLII 65</w:t>
      </w:r>
      <w:r w:rsidR="00340ECB">
        <w:t xml:space="preserve"> (FOREP) </w:t>
      </w:r>
    </w:p>
    <w:p w14:paraId="2A01A30C" w14:textId="57921AB2" w:rsidR="00807539" w:rsidRDefault="00292C48" w:rsidP="00391BE3">
      <w:r w:rsidRPr="00292C48">
        <w:t>R. v. Podolski, 2018 BCCA 96 (CanLII)</w:t>
      </w:r>
    </w:p>
    <w:p w14:paraId="52FC2F53" w14:textId="77777777" w:rsidR="0002525F" w:rsidRDefault="0002525F" w:rsidP="0002525F">
      <w:r>
        <w:t>[145]     The rule in Browne v. Dunn (1893), 1893 CanLII 65 (FOREP), 6 R. 67 (H.L.), requires a party who intends to impeach a witness to provide the witness with an opportunity to explain or address the point on which their evidence is to be challenged later in the trial. The rule is referred to more generally as “the confrontation principle”. It is rooted in fairness. Its object is to prevent the “ambush” of a witness on an essential matter. The rule does not “require counsel to ask contradicting questions about straightforward matters of fact on which the witness has already given evidence that he or she is very unlikely to change”: R. v. Khuc, 2000 BCCA 20 at para. 44. Nor does it compel counsel to cross-examine on insignificant details: R. v. Verney (1993), 1993 CanLII 14688 (ON CA), 87 C.C.C. (3d) 363 at 376 (Ont. C.A.).</w:t>
      </w:r>
    </w:p>
    <w:p w14:paraId="1B16FA61" w14:textId="2FB06ED3" w:rsidR="00292C48" w:rsidRPr="00292C48" w:rsidRDefault="0002525F" w:rsidP="0002525F">
      <w:r>
        <w:t>[146]     When the rule is breached, the judge may remedy the deficiency by permitting the unchallenged witness to be recalled, or by instructing the jury as to the manner in which it should approach the evidence in issue: R. v. Werkman, 2007 ABCA 130 at paras. 9‒11; R. v. Paris (2000), 2000 CanLII 17031 (ON CA), 150 C.C.C. (3d) 162 at para. 22 (Ont. C.A.).</w:t>
      </w:r>
    </w:p>
    <w:p w14:paraId="07BE33B4" w14:textId="26D2446D" w:rsidR="009B05DB" w:rsidRDefault="009B05DB" w:rsidP="00391BE3">
      <w:pPr>
        <w:rPr>
          <w:b/>
          <w:bCs/>
        </w:rPr>
      </w:pPr>
    </w:p>
    <w:p w14:paraId="6DBD09B7" w14:textId="77777777" w:rsidR="00685821" w:rsidRDefault="00685821" w:rsidP="00685821">
      <w:pPr>
        <w:rPr>
          <w:b/>
          <w:sz w:val="32"/>
          <w:szCs w:val="32"/>
          <w:u w:val="single"/>
        </w:rPr>
      </w:pPr>
    </w:p>
    <w:p w14:paraId="54DBBC57" w14:textId="0CD54B79" w:rsidR="00685821" w:rsidRPr="004231C5" w:rsidRDefault="00685821" w:rsidP="00685821">
      <w:pPr>
        <w:rPr>
          <w:sz w:val="32"/>
          <w:szCs w:val="32"/>
        </w:rPr>
      </w:pPr>
      <w:r w:rsidRPr="004231C5">
        <w:rPr>
          <w:b/>
          <w:sz w:val="32"/>
          <w:szCs w:val="32"/>
          <w:u w:val="single"/>
        </w:rPr>
        <w:t>STATEMENTS OF THE ACCUSED / CONFESSIONS</w:t>
      </w:r>
    </w:p>
    <w:p w14:paraId="6B97E0BD" w14:textId="00602C2C" w:rsidR="009B05DB" w:rsidRDefault="009B05DB" w:rsidP="00391BE3">
      <w:pPr>
        <w:rPr>
          <w:b/>
          <w:bCs/>
        </w:rPr>
      </w:pPr>
    </w:p>
    <w:p w14:paraId="048B4EA8" w14:textId="0E439E62" w:rsidR="00260A78" w:rsidRDefault="00260A78" w:rsidP="00391BE3">
      <w:pPr>
        <w:rPr>
          <w:b/>
          <w:bCs/>
        </w:rPr>
      </w:pPr>
      <w:r>
        <w:rPr>
          <w:b/>
          <w:bCs/>
        </w:rPr>
        <w:t xml:space="preserve">No right to have a lawyer present during questioning – either </w:t>
      </w:r>
      <w:proofErr w:type="spellStart"/>
      <w:r w:rsidR="00976E67">
        <w:rPr>
          <w:b/>
          <w:bCs/>
        </w:rPr>
        <w:t>commonlaw</w:t>
      </w:r>
      <w:proofErr w:type="spellEnd"/>
      <w:r w:rsidR="00976E67">
        <w:rPr>
          <w:b/>
          <w:bCs/>
        </w:rPr>
        <w:t xml:space="preserve"> or statute </w:t>
      </w:r>
    </w:p>
    <w:p w14:paraId="080FA62D" w14:textId="77777777" w:rsidR="00976E67" w:rsidRDefault="00976E67" w:rsidP="00391BE3">
      <w:pPr>
        <w:rPr>
          <w:b/>
          <w:bCs/>
        </w:rPr>
      </w:pPr>
    </w:p>
    <w:p w14:paraId="2EC5386F" w14:textId="531FDA89" w:rsidR="00391BE3" w:rsidRDefault="00FF5900" w:rsidP="00391BE3">
      <w:pPr>
        <w:rPr>
          <w:b/>
          <w:bCs/>
        </w:rPr>
      </w:pPr>
      <w:r>
        <w:rPr>
          <w:b/>
          <w:bCs/>
        </w:rPr>
        <w:t xml:space="preserve">Youth Criminal Justice Act s.146 </w:t>
      </w:r>
    </w:p>
    <w:p w14:paraId="6C2FCBDA" w14:textId="00AC6156" w:rsidR="00125FD6" w:rsidRDefault="00125FD6" w:rsidP="00391BE3">
      <w:pPr>
        <w:rPr>
          <w:b/>
          <w:bCs/>
        </w:rPr>
      </w:pPr>
    </w:p>
    <w:p w14:paraId="6B6A546A" w14:textId="77777777" w:rsidR="0056725C" w:rsidRDefault="0056725C" w:rsidP="00391BE3">
      <w:pPr>
        <w:rPr>
          <w:b/>
          <w:bCs/>
        </w:rPr>
      </w:pPr>
    </w:p>
    <w:p w14:paraId="24131E7D" w14:textId="628D8D15" w:rsidR="000C25EA" w:rsidRPr="00D1627E" w:rsidRDefault="000C25EA" w:rsidP="00391BE3">
      <w:pPr>
        <w:rPr>
          <w:b/>
          <w:bCs/>
        </w:rPr>
      </w:pPr>
      <w:r w:rsidRPr="00D1627E">
        <w:rPr>
          <w:b/>
          <w:bCs/>
        </w:rPr>
        <w:t>The Crown may lead</w:t>
      </w:r>
      <w:r w:rsidR="00D1627E">
        <w:rPr>
          <w:b/>
          <w:bCs/>
        </w:rPr>
        <w:t xml:space="preserve"> (seek to admit)</w:t>
      </w:r>
      <w:r w:rsidRPr="00D1627E">
        <w:rPr>
          <w:b/>
          <w:bCs/>
        </w:rPr>
        <w:t xml:space="preserve"> a statement as part of their case </w:t>
      </w:r>
    </w:p>
    <w:p w14:paraId="78A0B0CA" w14:textId="47AB3B81" w:rsidR="000C25EA" w:rsidRPr="00D1627E" w:rsidRDefault="000C25EA" w:rsidP="00391BE3">
      <w:pPr>
        <w:rPr>
          <w:b/>
          <w:bCs/>
        </w:rPr>
      </w:pPr>
    </w:p>
    <w:p w14:paraId="0F16A31A" w14:textId="7A77FC58" w:rsidR="000C25EA" w:rsidRPr="00D1627E" w:rsidRDefault="000C25EA" w:rsidP="00391BE3">
      <w:pPr>
        <w:rPr>
          <w:b/>
          <w:bCs/>
        </w:rPr>
      </w:pPr>
      <w:r w:rsidRPr="00D1627E">
        <w:rPr>
          <w:b/>
          <w:bCs/>
        </w:rPr>
        <w:t xml:space="preserve">OR </w:t>
      </w:r>
      <w:r w:rsidR="00D1627E" w:rsidRPr="00D1627E">
        <w:rPr>
          <w:b/>
          <w:bCs/>
        </w:rPr>
        <w:t xml:space="preserve">ask that be admitted for the purposes of cross-examination </w:t>
      </w:r>
    </w:p>
    <w:p w14:paraId="74E7D9AC" w14:textId="77777777" w:rsidR="000C25EA" w:rsidRDefault="000C25EA" w:rsidP="00391BE3"/>
    <w:p w14:paraId="3E0BC463" w14:textId="6A056C31" w:rsidR="0056725C" w:rsidRPr="00503FA4" w:rsidRDefault="00503FA4" w:rsidP="00391BE3">
      <w:pPr>
        <w:rPr>
          <w:b/>
          <w:bCs/>
        </w:rPr>
      </w:pPr>
      <w:r w:rsidRPr="00503FA4">
        <w:rPr>
          <w:b/>
          <w:bCs/>
        </w:rPr>
        <w:lastRenderedPageBreak/>
        <w:t xml:space="preserve">Accused’s statements to persons “not in authority” (not peace officers or agents of the police) </w:t>
      </w:r>
    </w:p>
    <w:p w14:paraId="3064E732" w14:textId="77777777" w:rsidR="0056725C" w:rsidRDefault="0056725C" w:rsidP="00391BE3"/>
    <w:p w14:paraId="672B53E8" w14:textId="6479D172" w:rsidR="003E613E" w:rsidRDefault="00125FD6" w:rsidP="00391BE3">
      <w:r w:rsidRPr="00125FD6">
        <w:t>Remember that the law respecting the use of confessions has as its foundation the fundamental principles of</w:t>
      </w:r>
      <w:r w:rsidR="003E613E">
        <w:t>:</w:t>
      </w:r>
      <w:r w:rsidRPr="00125FD6">
        <w:t xml:space="preserve"> </w:t>
      </w:r>
    </w:p>
    <w:p w14:paraId="7805DD74" w14:textId="77777777" w:rsidR="003E613E" w:rsidRDefault="00125FD6" w:rsidP="00391BE3">
      <w:r w:rsidRPr="00125FD6">
        <w:t xml:space="preserve">the right to silence, </w:t>
      </w:r>
    </w:p>
    <w:p w14:paraId="6D19ADC7" w14:textId="77777777" w:rsidR="003E613E" w:rsidRDefault="00125FD6" w:rsidP="00391BE3">
      <w:r w:rsidRPr="00125FD6">
        <w:t xml:space="preserve">the presumption of innocence, </w:t>
      </w:r>
    </w:p>
    <w:p w14:paraId="701ECC86" w14:textId="5D6B1526" w:rsidR="00125FD6" w:rsidRDefault="00125FD6" w:rsidP="00391BE3">
      <w:r w:rsidRPr="00125FD6">
        <w:t xml:space="preserve">and the right not to be required to self-incriminate.  </w:t>
      </w:r>
    </w:p>
    <w:p w14:paraId="70173B54" w14:textId="464BEE44" w:rsidR="0067422E" w:rsidRDefault="0067422E" w:rsidP="00391BE3"/>
    <w:p w14:paraId="5B98B85E" w14:textId="77777777" w:rsidR="00B332B8" w:rsidRDefault="00B332B8" w:rsidP="0067422E"/>
    <w:p w14:paraId="0B195D3F" w14:textId="75085458" w:rsidR="0067422E" w:rsidRDefault="0067422E" w:rsidP="0067422E">
      <w:r>
        <w:t>David Paciocco in his text “The Law of Evidence”:</w:t>
      </w:r>
    </w:p>
    <w:p w14:paraId="671AEC29" w14:textId="77777777" w:rsidR="0067422E" w:rsidRDefault="0067422E" w:rsidP="0067422E"/>
    <w:p w14:paraId="6A007E24" w14:textId="558BB65C" w:rsidR="0067422E" w:rsidRDefault="0067422E" w:rsidP="0067422E">
      <w:r>
        <w:t>“The concept of “self-incrimination” applies where the state seeks to compel an accused person to provide evidence of their own guilt for use at their criminal or penal trial.  The law of self-incrimination reflects the long-standing common law view that it is unfair to “conscript” or force an accused person to be their own betrayer.  As a matter of principle, it is believed that a person should not be required to answer an allegation for which they could be prosecuted unless and until the Crown has charged them and established “a case to meet” during trial by presenting evidence supporting the allegation.  Until then, a suspect should not have to dignify the allegation with a response.  In modern times, this notion is “intimately linked to our adversarial system of criminal justice and the presumption of innocence.”  It is a vestige of the revulsion that was felt over the ancient courts of Star Chamber, which would detain suspected enemies of the state on mere suspicion, compel them to swear an oath, and then require them on pain of punishment to answer questions about what they were thinking or what they believed.  The idea that self-incrimination is offensive rests, therefore, on ideas about privacy and the inherent dignity of individuals.  It is also about the abuse of state power and the risk that compelling accused persons to respond can produce unreliable information.  Hence, the principle against self-incrimination supports “limits on the extent to which an accused person can be used as a source of information about his or her own criminal conduct.”  At its heart, it is about choice.  Individuals should be free to “choose whether to co-operate with the state and, if they choose not to, [they should] be left alone by the state,” unless and until the Crown proves that they have violated a pre-existing law.”</w:t>
      </w:r>
    </w:p>
    <w:p w14:paraId="6BDFCDEC" w14:textId="69A92E06" w:rsidR="00671F38" w:rsidRDefault="00671F38" w:rsidP="0067422E"/>
    <w:p w14:paraId="15109EA2" w14:textId="77777777" w:rsidR="004B5CF7" w:rsidRDefault="004B5CF7" w:rsidP="00F26EF2">
      <w:pPr>
        <w:rPr>
          <w:b/>
          <w:bCs/>
        </w:rPr>
      </w:pPr>
    </w:p>
    <w:p w14:paraId="747FC68E" w14:textId="37C4D448" w:rsidR="00F26EF2" w:rsidRPr="00F26EF2" w:rsidRDefault="00F26EF2" w:rsidP="00F26EF2">
      <w:r w:rsidRPr="00F26EF2">
        <w:rPr>
          <w:b/>
          <w:bCs/>
        </w:rPr>
        <w:t>Confessions are also hearsay</w:t>
      </w:r>
      <w:r w:rsidRPr="00F26EF2">
        <w:t xml:space="preserve">, but hearsay which is generally considered reliable </w:t>
      </w:r>
    </w:p>
    <w:p w14:paraId="1A577AE4" w14:textId="77777777" w:rsidR="00F26EF2" w:rsidRDefault="00F26EF2" w:rsidP="0067422E"/>
    <w:p w14:paraId="12990E87" w14:textId="77777777" w:rsidR="00671F38" w:rsidRDefault="00671F38" w:rsidP="00671F38">
      <w:pPr>
        <w:rPr>
          <w:b/>
          <w:bCs/>
        </w:rPr>
      </w:pPr>
    </w:p>
    <w:p w14:paraId="670F5B6A" w14:textId="77777777" w:rsidR="00671F38" w:rsidRDefault="00671F38" w:rsidP="00671F38">
      <w:pPr>
        <w:rPr>
          <w:b/>
          <w:bCs/>
        </w:rPr>
      </w:pPr>
    </w:p>
    <w:p w14:paraId="416F0465" w14:textId="16362695" w:rsidR="00671F38" w:rsidRPr="00671F38" w:rsidRDefault="00671F38" w:rsidP="00671F38">
      <w:pPr>
        <w:rPr>
          <w:b/>
          <w:bCs/>
        </w:rPr>
      </w:pPr>
      <w:r w:rsidRPr="00671F38">
        <w:rPr>
          <w:b/>
          <w:bCs/>
        </w:rPr>
        <w:lastRenderedPageBreak/>
        <w:t>What is a “statement?</w:t>
      </w:r>
    </w:p>
    <w:p w14:paraId="06AAA915" w14:textId="1C0210E0" w:rsidR="00671F38" w:rsidRDefault="00671F38" w:rsidP="00671F38">
      <w:r>
        <w:t>Virtually any communication can be a statement – written documents, oral assertions, responses to questions, gestures that have meaning.</w:t>
      </w:r>
    </w:p>
    <w:p w14:paraId="0EFE82F2" w14:textId="54F22B2B" w:rsidR="007B40E9" w:rsidRDefault="007B40E9" w:rsidP="00671F38"/>
    <w:p w14:paraId="696F05BB" w14:textId="791E8370" w:rsidR="007B40E9" w:rsidRDefault="007B40E9" w:rsidP="00671F38">
      <w:pPr>
        <w:rPr>
          <w:b/>
          <w:bCs/>
        </w:rPr>
      </w:pPr>
      <w:r w:rsidRPr="007B40E9">
        <w:rPr>
          <w:b/>
          <w:bCs/>
        </w:rPr>
        <w:t>The common law confessions rule</w:t>
      </w:r>
      <w:r>
        <w:rPr>
          <w:b/>
          <w:bCs/>
        </w:rPr>
        <w:t xml:space="preserve"> (Voluntariness) </w:t>
      </w:r>
    </w:p>
    <w:p w14:paraId="439F295E" w14:textId="4C02D5BD" w:rsidR="001A3BAE" w:rsidRDefault="001A3BAE" w:rsidP="00671F38"/>
    <w:p w14:paraId="6F74F6A8" w14:textId="0297E95A" w:rsidR="001A3BAE" w:rsidRPr="001A3BAE" w:rsidRDefault="001A3BAE" w:rsidP="001A3BAE">
      <w:r w:rsidRPr="001A3BAE">
        <w:rPr>
          <w:b/>
          <w:u w:val="single"/>
        </w:rPr>
        <w:t>Persons in authority</w:t>
      </w:r>
    </w:p>
    <w:p w14:paraId="75277D25" w14:textId="752664B4" w:rsidR="001A3BAE" w:rsidRPr="001A3BAE" w:rsidRDefault="001A3BAE" w:rsidP="001A3BAE">
      <w:r w:rsidRPr="001A3BAE">
        <w:t>A “person in authority” is anyone who is known to the suspect or accused to be capable of having an impact on the proceedings against him or her.  Examples are police officers investigating the crime, anyone they ask to assist them, their “agents”, and the Crown.  Generally not included in this category are civilians like your m</w:t>
      </w:r>
      <w:r w:rsidR="00D65513">
        <w:t>o</w:t>
      </w:r>
      <w:r w:rsidRPr="001A3BAE">
        <w:t>m and dad, religious authorities, medical personnel, teachers and the principal at your school.</w:t>
      </w:r>
    </w:p>
    <w:p w14:paraId="23CE7E4A" w14:textId="18DFD267" w:rsidR="001A3BAE" w:rsidRDefault="001A3BAE" w:rsidP="00671F38"/>
    <w:p w14:paraId="7EAAA6E5" w14:textId="40CF0FDD" w:rsidR="00A300B9" w:rsidRPr="00A300B9" w:rsidRDefault="00A300B9" w:rsidP="00A300B9">
      <w:pPr>
        <w:rPr>
          <w:b/>
          <w:u w:val="single"/>
        </w:rPr>
      </w:pPr>
      <w:r w:rsidRPr="00A300B9">
        <w:rPr>
          <w:b/>
          <w:u w:val="single"/>
        </w:rPr>
        <w:t>Historically</w:t>
      </w:r>
      <w:r w:rsidR="00825D22">
        <w:rPr>
          <w:b/>
          <w:u w:val="single"/>
        </w:rPr>
        <w:t xml:space="preserve">  </w:t>
      </w:r>
    </w:p>
    <w:p w14:paraId="4D8BE40A" w14:textId="7211B265" w:rsidR="00A300B9" w:rsidRPr="00A300B9" w:rsidRDefault="00A300B9" w:rsidP="00A300B9">
      <w:r w:rsidRPr="00A300B9">
        <w:t xml:space="preserve">We begin with </w:t>
      </w:r>
      <w:r w:rsidRPr="00A300B9">
        <w:rPr>
          <w:u w:val="single"/>
        </w:rPr>
        <w:t>Ibrahim v. The King</w:t>
      </w:r>
      <w:r w:rsidRPr="00A300B9">
        <w:t>, [1914] AC 599, in which the Court expressed the classic narrow rule respecting voluntariness of confessions as follows:</w:t>
      </w:r>
    </w:p>
    <w:p w14:paraId="0AB82FB9" w14:textId="77777777" w:rsidR="00A300B9" w:rsidRPr="00A300B9" w:rsidRDefault="00A300B9" w:rsidP="00A300B9">
      <w:r w:rsidRPr="00A300B9">
        <w:t>“It has long been established as a positive rule of English criminal law, that no statement by an accused is admissible in evidence against him unless it is shown by the prosecution to have been a voluntary statement, in the sense that it has not been obtained from him either by fear of prejudice or hope of advantage exercised or held out by a person in authority.”</w:t>
      </w:r>
    </w:p>
    <w:p w14:paraId="570B88BF" w14:textId="77777777" w:rsidR="00A300B9" w:rsidRPr="00A300B9" w:rsidRDefault="00A300B9" w:rsidP="00A300B9"/>
    <w:p w14:paraId="7089FE98" w14:textId="77777777" w:rsidR="00A300B9" w:rsidRPr="00A300B9" w:rsidRDefault="00A300B9" w:rsidP="00A300B9">
      <w:r w:rsidRPr="00A300B9">
        <w:t xml:space="preserve">The classic statement remains part, but only part, of the confessions rule in Canada to this day.  Fast forward to </w:t>
      </w:r>
      <w:r w:rsidRPr="00A300B9">
        <w:rPr>
          <w:u w:val="single"/>
        </w:rPr>
        <w:t>Regina v. Hébert</w:t>
      </w:r>
      <w:r w:rsidRPr="00A300B9">
        <w:t xml:space="preserve">, decided in 1990, and we see this criticism of </w:t>
      </w:r>
      <w:r w:rsidRPr="00A300B9">
        <w:rPr>
          <w:u w:val="single"/>
        </w:rPr>
        <w:t>Ibrahim</w:t>
      </w:r>
      <w:r w:rsidRPr="00A300B9">
        <w:t xml:space="preserve"> in the judgment written by Madam Justice McLachlin:</w:t>
      </w:r>
    </w:p>
    <w:p w14:paraId="78F90D0B" w14:textId="77777777" w:rsidR="00A300B9" w:rsidRPr="00A300B9" w:rsidRDefault="00A300B9" w:rsidP="00A300B9"/>
    <w:p w14:paraId="05765AB5" w14:textId="77777777" w:rsidR="00A300B9" w:rsidRPr="00A300B9" w:rsidRDefault="00A300B9" w:rsidP="00A300B9">
      <w:r w:rsidRPr="00A300B9">
        <w:t>“The traditional confessions rule set out in</w:t>
      </w:r>
      <w:r w:rsidRPr="00A300B9">
        <w:rPr>
          <w:i/>
          <w:iCs/>
        </w:rPr>
        <w:t> Ibrahim v. The King</w:t>
      </w:r>
      <w:r w:rsidRPr="00A300B9">
        <w:t xml:space="preserve">, [1914] A.C. 599, defines the choice negatively, in terms of the absence of threats or promises by the authorities inducing the statement, and objectively, in terms of the physical acts and words of the parties.  The awareness of the detained person of his alternatives is irrelevant. He need not be told that he has the right to remain silent. He need not be told that he has the right to consult counsel to determine what his options are.  The only right he has is a negative right -- the right not to be tortured or coerced into making a statement by threats or promises held out by a person who is and whom he subjectively believes to be a person in authority.  The act of choosing is viewed objectively, and the mental state of the suspect, apart from his belief that he is speaking to a person in authority, is irrelevant.  Were it not for the insistence in the cases that the absence of threats and promises establishes the voluntariness of the statement and that voluntariness is the ultimate requirement for an admissible confession, one would be tempted to say </w:t>
      </w:r>
      <w:r w:rsidRPr="00A300B9">
        <w:lastRenderedPageBreak/>
        <w:t>that choice in the usual sense of deciding between alternatives plays little role in the traditional narrow formulation of the confessions rule.”</w:t>
      </w:r>
    </w:p>
    <w:p w14:paraId="28828109" w14:textId="77777777" w:rsidR="00A300B9" w:rsidRPr="00A300B9" w:rsidRDefault="00A300B9" w:rsidP="00A300B9"/>
    <w:p w14:paraId="5D976F71" w14:textId="0B10A520" w:rsidR="001A3BAE" w:rsidRDefault="00490DF7" w:rsidP="00671F38">
      <w:pPr>
        <w:rPr>
          <w:b/>
          <w:bCs/>
        </w:rPr>
      </w:pPr>
      <w:r w:rsidRPr="00432D09">
        <w:rPr>
          <w:b/>
          <w:bCs/>
        </w:rPr>
        <w:t xml:space="preserve">The </w:t>
      </w:r>
      <w:r w:rsidR="00432D09" w:rsidRPr="00432D09">
        <w:rPr>
          <w:b/>
          <w:bCs/>
        </w:rPr>
        <w:t xml:space="preserve">Common Law Confessions Rule Today </w:t>
      </w:r>
    </w:p>
    <w:p w14:paraId="189B70C7" w14:textId="09E005E7" w:rsidR="00432D09" w:rsidRDefault="00432D09" w:rsidP="00671F38">
      <w:r w:rsidRPr="00432D09">
        <w:t xml:space="preserve">R. v. </w:t>
      </w:r>
      <w:proofErr w:type="spellStart"/>
      <w:r w:rsidRPr="00432D09">
        <w:t>Oickle</w:t>
      </w:r>
      <w:proofErr w:type="spellEnd"/>
      <w:r w:rsidRPr="00432D09">
        <w:t>, 2000 SCC 38 (CanLII)</w:t>
      </w:r>
    </w:p>
    <w:p w14:paraId="22D99074" w14:textId="77777777" w:rsidR="00832D1C" w:rsidRPr="00323E87" w:rsidRDefault="00832D1C" w:rsidP="00832D1C">
      <w:pPr>
        <w:rPr>
          <w:rFonts w:eastAsia="Times New Roman" w:cstheme="minorHAnsi"/>
        </w:rPr>
      </w:pPr>
      <w:r w:rsidRPr="00323E87">
        <w:rPr>
          <w:rFonts w:eastAsia="Times New Roman" w:cstheme="minorHAnsi"/>
        </w:rPr>
        <w:t>The judge determining the statement’s admissibility should consider the following factors and the effect of them in combination:</w:t>
      </w:r>
    </w:p>
    <w:p w14:paraId="0F877F65" w14:textId="77777777" w:rsidR="00832D1C" w:rsidRPr="00323E87" w:rsidRDefault="00832D1C" w:rsidP="00832D1C">
      <w:pPr>
        <w:rPr>
          <w:rFonts w:eastAsia="Times New Roman" w:cstheme="minorHAnsi"/>
        </w:rPr>
      </w:pPr>
    </w:p>
    <w:p w14:paraId="5C2F0395" w14:textId="77777777" w:rsidR="00832D1C" w:rsidRPr="00323E87" w:rsidRDefault="00832D1C" w:rsidP="00832D1C">
      <w:pPr>
        <w:pStyle w:val="ListParagraph"/>
        <w:numPr>
          <w:ilvl w:val="0"/>
          <w:numId w:val="1"/>
        </w:numPr>
        <w:spacing w:after="0" w:line="240" w:lineRule="auto"/>
        <w:rPr>
          <w:rFonts w:eastAsia="Times New Roman" w:cstheme="minorHAnsi"/>
        </w:rPr>
      </w:pPr>
      <w:r w:rsidRPr="00323E87">
        <w:rPr>
          <w:rFonts w:eastAsia="Times New Roman" w:cstheme="minorHAnsi"/>
        </w:rPr>
        <w:t xml:space="preserve"> Threats or promises, hope of advantage for speaking, fear of disadvantage for remaining silent.  Look for a </w:t>
      </w:r>
      <w:r w:rsidRPr="00323E87">
        <w:rPr>
          <w:rFonts w:eastAsia="Times New Roman" w:cstheme="minorHAnsi"/>
          <w:i/>
        </w:rPr>
        <w:t>quid pro quo.</w:t>
      </w:r>
    </w:p>
    <w:p w14:paraId="12A94652" w14:textId="77777777" w:rsidR="00832D1C" w:rsidRPr="00323E87" w:rsidRDefault="00832D1C" w:rsidP="00832D1C">
      <w:pPr>
        <w:pStyle w:val="ListParagraph"/>
        <w:numPr>
          <w:ilvl w:val="0"/>
          <w:numId w:val="1"/>
        </w:numPr>
        <w:spacing w:after="0" w:line="240" w:lineRule="auto"/>
        <w:rPr>
          <w:rFonts w:eastAsia="Times New Roman" w:cstheme="minorHAnsi"/>
        </w:rPr>
      </w:pPr>
      <w:r w:rsidRPr="00323E87">
        <w:rPr>
          <w:rFonts w:eastAsia="Times New Roman" w:cstheme="minorHAnsi"/>
        </w:rPr>
        <w:t>Oppression – deprivation of food, clothing, water, warmth, sleep, etc.</w:t>
      </w:r>
    </w:p>
    <w:p w14:paraId="02FB6D71" w14:textId="77777777" w:rsidR="00832D1C" w:rsidRPr="00323E87" w:rsidRDefault="00832D1C" w:rsidP="00832D1C">
      <w:pPr>
        <w:pStyle w:val="ListParagraph"/>
        <w:numPr>
          <w:ilvl w:val="0"/>
          <w:numId w:val="1"/>
        </w:numPr>
        <w:spacing w:after="0" w:line="240" w:lineRule="auto"/>
        <w:rPr>
          <w:rFonts w:eastAsia="Times New Roman" w:cstheme="minorHAnsi"/>
        </w:rPr>
      </w:pPr>
      <w:r w:rsidRPr="00323E87">
        <w:rPr>
          <w:rFonts w:eastAsia="Times New Roman" w:cstheme="minorHAnsi"/>
        </w:rPr>
        <w:t>Operating mind of the accused – mental health obstacles, also impairment by alcohol and other drugs.</w:t>
      </w:r>
    </w:p>
    <w:p w14:paraId="02A23DA1" w14:textId="0024157D" w:rsidR="00832D1C" w:rsidRPr="00323E87" w:rsidRDefault="00832D1C" w:rsidP="00832D1C">
      <w:pPr>
        <w:pStyle w:val="ListParagraph"/>
        <w:numPr>
          <w:ilvl w:val="0"/>
          <w:numId w:val="1"/>
        </w:numPr>
        <w:spacing w:after="0" w:line="240" w:lineRule="auto"/>
        <w:rPr>
          <w:rFonts w:eastAsia="Times New Roman" w:cstheme="minorHAnsi"/>
        </w:rPr>
      </w:pPr>
      <w:r w:rsidRPr="00323E87">
        <w:rPr>
          <w:rFonts w:eastAsia="Times New Roman" w:cstheme="minorHAnsi"/>
        </w:rPr>
        <w:t xml:space="preserve">Police trickery – needs to be considered to maintain the integrity of the justice system.  </w:t>
      </w:r>
    </w:p>
    <w:p w14:paraId="724F23D1" w14:textId="1005BB5E" w:rsidR="00432D09" w:rsidRDefault="00432D09" w:rsidP="00671F38"/>
    <w:p w14:paraId="441D5F04" w14:textId="77777777" w:rsidR="006A1D8C" w:rsidRPr="006A1D8C" w:rsidRDefault="006A1D8C" w:rsidP="006A1D8C">
      <w:pPr>
        <w:rPr>
          <w:b/>
          <w:bCs/>
        </w:rPr>
      </w:pPr>
      <w:r w:rsidRPr="006A1D8C">
        <w:rPr>
          <w:b/>
          <w:bCs/>
        </w:rPr>
        <w:t>Cases decided under Section 7 of the Charter</w:t>
      </w:r>
    </w:p>
    <w:p w14:paraId="35D300DC" w14:textId="77777777" w:rsidR="006A1D8C" w:rsidRDefault="006A1D8C" w:rsidP="006A1D8C"/>
    <w:p w14:paraId="7AD4BAAE" w14:textId="06E4F9FB" w:rsidR="006A1D8C" w:rsidRDefault="006A1D8C" w:rsidP="006A1D8C">
      <w:r>
        <w:t xml:space="preserve">R v. Hébert, 1990 Canlii118 (SCC) </w:t>
      </w:r>
    </w:p>
    <w:p w14:paraId="4E0A9F58" w14:textId="77777777" w:rsidR="006A1D8C" w:rsidRDefault="006A1D8C" w:rsidP="006A1D8C"/>
    <w:p w14:paraId="088FCFCF" w14:textId="77777777" w:rsidR="006A1D8C" w:rsidRDefault="006A1D8C" w:rsidP="006A1D8C">
      <w:r>
        <w:t xml:space="preserve">The police were investigating Mr. Hébert about a robbery.  He consulted with a lawyer and then told the police that he did not wish to make a statement.  He was placed in a cell with another person, a police officer pretending to be someone in custody.  That officer pro-actively engaged the accused in conversation about his situation and the accused said some incriminating things.  At trial, the judge excluded the confession.  The Court of Appeal allowed the Crown’s appeal and ordered a new trial.  The accused appealed to the SCC and there the trial judge’s decision was approved.  </w:t>
      </w:r>
    </w:p>
    <w:p w14:paraId="1023EDB4" w14:textId="77777777" w:rsidR="006A1D8C" w:rsidRDefault="006A1D8C" w:rsidP="006A1D8C"/>
    <w:p w14:paraId="4D62BA07" w14:textId="77777777" w:rsidR="006A1D8C" w:rsidRDefault="006A1D8C" w:rsidP="006A1D8C">
      <w:r>
        <w:t>The Court said that the protection offered by Section 7 of the Charter is broader in scope than the confessions rule, but not so broad as to prohibit police from seeking confessions in all circumstances.  The police may question an accused in the absence of counsel so long as they have complied with section 10 of the Charter, they may employ persuasion, and they may employ cell plants so long as that officer does not behave like an investigator.</w:t>
      </w:r>
    </w:p>
    <w:p w14:paraId="5F877BC1" w14:textId="77777777" w:rsidR="006A1D8C" w:rsidRDefault="006A1D8C" w:rsidP="006A1D8C"/>
    <w:p w14:paraId="789108E5" w14:textId="21139ACF" w:rsidR="006A1D8C" w:rsidRDefault="006A1D8C" w:rsidP="006A1D8C">
      <w:r>
        <w:t>Regina v. Singh, 2007 SCC 48</w:t>
      </w:r>
    </w:p>
    <w:p w14:paraId="43C310BA" w14:textId="77777777" w:rsidR="00AA3E4F" w:rsidRDefault="006A1D8C" w:rsidP="006A1D8C">
      <w:r>
        <w:t xml:space="preserve">The accused was being investigated for a murder.  He was advised of his right to </w:t>
      </w:r>
      <w:proofErr w:type="gramStart"/>
      <w:r>
        <w:t>counsel</w:t>
      </w:r>
      <w:proofErr w:type="gramEnd"/>
      <w:r>
        <w:t xml:space="preserve"> and he spoke with a lawyer, after which he said many times that he did not wish to speak with the police.  They continued to interview him.  Eventually he made some admissions that connected him with the murder.  </w:t>
      </w:r>
    </w:p>
    <w:p w14:paraId="11C919D2" w14:textId="4E686D33" w:rsidR="006A1D8C" w:rsidRDefault="006A1D8C" w:rsidP="006A1D8C">
      <w:r>
        <w:lastRenderedPageBreak/>
        <w:t>Regina v. Sinclair, 2010 SCC 35</w:t>
      </w:r>
    </w:p>
    <w:p w14:paraId="46F1B6E7" w14:textId="7E9699D0" w:rsidR="006A1D8C" w:rsidRDefault="006A1D8C" w:rsidP="006A1D8C">
      <w:r>
        <w:t xml:space="preserve">This case says that the accused does not have a right to have his or her counsel present during the interview with the police.  The accused may not consult again with counsel unless the circumstances of his or her jeopardy </w:t>
      </w:r>
      <w:proofErr w:type="gramStart"/>
      <w:r>
        <w:t>change  (</w:t>
      </w:r>
      <w:proofErr w:type="gramEnd"/>
      <w:r>
        <w:t xml:space="preserve">the victim of the assault passes away, for example).  </w:t>
      </w:r>
    </w:p>
    <w:p w14:paraId="7297CD6D" w14:textId="44B0BB05" w:rsidR="004710AD" w:rsidRDefault="004710AD" w:rsidP="006A1D8C"/>
    <w:p w14:paraId="4A86D844" w14:textId="1548B7B5" w:rsidR="004710AD" w:rsidRDefault="004710AD" w:rsidP="004710AD">
      <w:pPr>
        <w:rPr>
          <w:b/>
          <w:u w:val="single"/>
        </w:rPr>
      </w:pPr>
      <w:r w:rsidRPr="004710AD">
        <w:rPr>
          <w:b/>
          <w:u w:val="single"/>
        </w:rPr>
        <w:t>What happens if the law requires the accused to give information to the authorities?</w:t>
      </w:r>
    </w:p>
    <w:p w14:paraId="2FEC41D3" w14:textId="77777777" w:rsidR="007D51CC" w:rsidRPr="007D51CC" w:rsidRDefault="007D51CC" w:rsidP="007D51CC">
      <w:pPr>
        <w:rPr>
          <w:bCs/>
        </w:rPr>
      </w:pPr>
      <w:r w:rsidRPr="007D51CC">
        <w:rPr>
          <w:bCs/>
        </w:rPr>
        <w:t xml:space="preserve">Where the law requires a person to communicate information which turns out to be inculpatory, such as identifying yourself under the </w:t>
      </w:r>
      <w:r w:rsidRPr="007D51CC">
        <w:rPr>
          <w:bCs/>
          <w:i/>
        </w:rPr>
        <w:t>Motor Vehicle Act</w:t>
      </w:r>
      <w:r w:rsidRPr="007D51CC">
        <w:rPr>
          <w:bCs/>
        </w:rPr>
        <w:t xml:space="preserve">, or giving the government information under the </w:t>
      </w:r>
      <w:r w:rsidRPr="007D51CC">
        <w:rPr>
          <w:bCs/>
          <w:i/>
        </w:rPr>
        <w:t>Income Tax Act</w:t>
      </w:r>
      <w:r w:rsidRPr="007D51CC">
        <w:rPr>
          <w:bCs/>
        </w:rPr>
        <w:t>, the compelled statement is presumptively inadmissible because it is not voluntary, a product of choice.</w:t>
      </w:r>
    </w:p>
    <w:p w14:paraId="21BC62E9" w14:textId="1C070BB3" w:rsidR="004710AD" w:rsidRDefault="004710AD" w:rsidP="004710AD">
      <w:pPr>
        <w:rPr>
          <w:b/>
          <w:u w:val="single"/>
        </w:rPr>
      </w:pPr>
    </w:p>
    <w:p w14:paraId="38805ED5" w14:textId="135ADC2E" w:rsidR="00F12C0C" w:rsidRPr="00F12C0C" w:rsidRDefault="00F12C0C" w:rsidP="00F12C0C">
      <w:pPr>
        <w:rPr>
          <w:b/>
          <w:u w:val="single"/>
        </w:rPr>
      </w:pPr>
      <w:r w:rsidRPr="00F12C0C">
        <w:rPr>
          <w:b/>
          <w:u w:val="single"/>
        </w:rPr>
        <w:t>Mr. Big operations</w:t>
      </w:r>
    </w:p>
    <w:p w14:paraId="1CD19F9F" w14:textId="77777777" w:rsidR="00AC77D9" w:rsidRDefault="00F12C0C" w:rsidP="00F12C0C">
      <w:pPr>
        <w:rPr>
          <w:bCs/>
        </w:rPr>
      </w:pPr>
      <w:r w:rsidRPr="00F12C0C">
        <w:rPr>
          <w:bCs/>
        </w:rPr>
        <w:t xml:space="preserve">R v. Hart, 2014 SCC 52, deals with these kinds of operations. </w:t>
      </w:r>
    </w:p>
    <w:p w14:paraId="3A9181D2" w14:textId="77777777" w:rsidR="009E6D71" w:rsidRDefault="00F12C0C" w:rsidP="00F12C0C">
      <w:pPr>
        <w:rPr>
          <w:bCs/>
        </w:rPr>
      </w:pPr>
      <w:r w:rsidRPr="00F12C0C">
        <w:rPr>
          <w:bCs/>
        </w:rPr>
        <w:t xml:space="preserve">Mr. Hart had been suspected of drowning his twin daughters, who were three years old at the time of their deaths.  The authorities had insufficient evidence to lay charges.  So, they pretended to be members of a criminal organization and they recruited Mr. Hart.  He admitted killing his children during the operation, and then during his interview with the “boss”, he first denied it and then admitted it.  Mr. Hart had been doing “work” for the </w:t>
      </w:r>
      <w:proofErr w:type="gramStart"/>
      <w:r w:rsidRPr="00F12C0C">
        <w:rPr>
          <w:bCs/>
        </w:rPr>
        <w:t>gang, and</w:t>
      </w:r>
      <w:proofErr w:type="gramEnd"/>
      <w:r w:rsidRPr="00F12C0C">
        <w:rPr>
          <w:bCs/>
        </w:rPr>
        <w:t xml:space="preserve"> was paid for his work.  He had come to view the “gang members” as his family.</w:t>
      </w:r>
    </w:p>
    <w:p w14:paraId="2FC2F449" w14:textId="7B2E314C" w:rsidR="00F12C0C" w:rsidRPr="00F12C0C" w:rsidRDefault="00F12C0C" w:rsidP="00F12C0C">
      <w:pPr>
        <w:rPr>
          <w:bCs/>
        </w:rPr>
      </w:pPr>
      <w:r w:rsidRPr="00F12C0C">
        <w:rPr>
          <w:bCs/>
        </w:rPr>
        <w:t xml:space="preserve">The SCC excluded both confessions on the basis that they could not be found to be reliable because of the incentives inherent in the entire process for the accused to pretend to be a </w:t>
      </w:r>
      <w:proofErr w:type="gramStart"/>
      <w:r w:rsidRPr="00F12C0C">
        <w:rPr>
          <w:bCs/>
        </w:rPr>
        <w:t>really bad</w:t>
      </w:r>
      <w:proofErr w:type="gramEnd"/>
      <w:r w:rsidRPr="00F12C0C">
        <w:rPr>
          <w:bCs/>
        </w:rPr>
        <w:t xml:space="preserve"> person.  Such confessions are presumptively inadmissible.  </w:t>
      </w:r>
    </w:p>
    <w:p w14:paraId="6522655D" w14:textId="77777777" w:rsidR="00F12C0C" w:rsidRPr="00F12C0C" w:rsidRDefault="00F12C0C" w:rsidP="00F12C0C">
      <w:pPr>
        <w:rPr>
          <w:b/>
          <w:u w:val="single"/>
        </w:rPr>
      </w:pPr>
    </w:p>
    <w:p w14:paraId="415EB205" w14:textId="174F6953" w:rsidR="004710AD" w:rsidRPr="004710AD" w:rsidRDefault="00482535" w:rsidP="004710AD">
      <w:pPr>
        <w:rPr>
          <w:b/>
          <w:u w:val="single"/>
        </w:rPr>
      </w:pPr>
      <w:r w:rsidRPr="00482535">
        <w:rPr>
          <w:b/>
          <w:u w:val="single"/>
        </w:rPr>
        <w:t>Apologies &amp; the Apology Act</w:t>
      </w:r>
      <w:r>
        <w:rPr>
          <w:b/>
          <w:u w:val="single"/>
        </w:rPr>
        <w:t xml:space="preserve"> (</w:t>
      </w:r>
      <w:r w:rsidR="008B3A69">
        <w:rPr>
          <w:b/>
          <w:u w:val="single"/>
        </w:rPr>
        <w:t>R.S.</w:t>
      </w:r>
      <w:r>
        <w:rPr>
          <w:b/>
          <w:u w:val="single"/>
        </w:rPr>
        <w:t xml:space="preserve">B.C.) </w:t>
      </w:r>
    </w:p>
    <w:p w14:paraId="78AAA1C6" w14:textId="77777777" w:rsidR="00491769" w:rsidRDefault="00491769" w:rsidP="006A1D8C"/>
    <w:p w14:paraId="4B03825C" w14:textId="59A352F9" w:rsidR="004710AD" w:rsidRDefault="004D06E7" w:rsidP="006A1D8C">
      <w:r w:rsidRPr="004D06E7">
        <w:t>R. v. S.G.T., 2010 SCC 20 (CanLII)</w:t>
      </w:r>
    </w:p>
    <w:p w14:paraId="453B57CD" w14:textId="28305264" w:rsidR="006B7196" w:rsidRDefault="00D17F6E" w:rsidP="006B7196">
      <w:r>
        <w:t xml:space="preserve">“When statements are made by an accused to ordinary persons, they are presumptively admissible, as admissions by an opposing party, without the necessity of a </w:t>
      </w:r>
      <w:proofErr w:type="spellStart"/>
      <w:r>
        <w:rPr>
          <w:i/>
          <w:iCs/>
        </w:rPr>
        <w:t>voir</w:t>
      </w:r>
      <w:proofErr w:type="spellEnd"/>
      <w:r>
        <w:rPr>
          <w:i/>
          <w:iCs/>
        </w:rPr>
        <w:t xml:space="preserve"> dire</w:t>
      </w:r>
      <w:r>
        <w:t>.  It is only where the accused makes a statement to a “person in authority” that the Crown bears the onus of proving the voluntariness of the statement as a prerequisite to its admission, under the confessions rule.  To be considered a person in authority, the accused must believe that the recipient of the statement can control or influence the proceedings against him or her, and that belief must be reasonable.”</w:t>
      </w:r>
    </w:p>
    <w:p w14:paraId="60D59A65" w14:textId="7D910D3F" w:rsidR="006B7196" w:rsidRDefault="006B7196" w:rsidP="006B7196"/>
    <w:p w14:paraId="40B6340E" w14:textId="0D3C9DF1" w:rsidR="006B7196" w:rsidRDefault="006B7196" w:rsidP="006B7196">
      <w:r>
        <w:t xml:space="preserve">The Apology Act </w:t>
      </w:r>
      <w:r w:rsidRPr="006B7196">
        <w:t>[SBC 2006] CHAPTER 19</w:t>
      </w:r>
    </w:p>
    <w:p w14:paraId="6BE181BE" w14:textId="77777777" w:rsidR="006B7196" w:rsidRPr="00432D09" w:rsidRDefault="006B7196" w:rsidP="006A1D8C"/>
    <w:sectPr w:rsidR="006B7196" w:rsidRPr="00432D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7BE2"/>
    <w:multiLevelType w:val="hybridMultilevel"/>
    <w:tmpl w:val="A1108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929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BE3"/>
    <w:rsid w:val="0002525F"/>
    <w:rsid w:val="000C25EA"/>
    <w:rsid w:val="00125FD6"/>
    <w:rsid w:val="00165082"/>
    <w:rsid w:val="001A3BAE"/>
    <w:rsid w:val="00260A78"/>
    <w:rsid w:val="00292C48"/>
    <w:rsid w:val="00323E87"/>
    <w:rsid w:val="00340ECB"/>
    <w:rsid w:val="00391BE3"/>
    <w:rsid w:val="003E613E"/>
    <w:rsid w:val="00432D09"/>
    <w:rsid w:val="004710AD"/>
    <w:rsid w:val="00482535"/>
    <w:rsid w:val="004865D1"/>
    <w:rsid w:val="00490DF7"/>
    <w:rsid w:val="00491769"/>
    <w:rsid w:val="004B5CF7"/>
    <w:rsid w:val="004D06E7"/>
    <w:rsid w:val="00503FA4"/>
    <w:rsid w:val="0056725C"/>
    <w:rsid w:val="00644EE7"/>
    <w:rsid w:val="00671F38"/>
    <w:rsid w:val="0067422E"/>
    <w:rsid w:val="00685821"/>
    <w:rsid w:val="006A1D8C"/>
    <w:rsid w:val="006B7196"/>
    <w:rsid w:val="007B40E9"/>
    <w:rsid w:val="007D51CC"/>
    <w:rsid w:val="007D6F5F"/>
    <w:rsid w:val="00807539"/>
    <w:rsid w:val="00825D22"/>
    <w:rsid w:val="00832D1C"/>
    <w:rsid w:val="008B3A69"/>
    <w:rsid w:val="00976E67"/>
    <w:rsid w:val="009B05DB"/>
    <w:rsid w:val="009E07E9"/>
    <w:rsid w:val="009E6D71"/>
    <w:rsid w:val="00A300B9"/>
    <w:rsid w:val="00A52C78"/>
    <w:rsid w:val="00A5541B"/>
    <w:rsid w:val="00A9315B"/>
    <w:rsid w:val="00AA3E4F"/>
    <w:rsid w:val="00AC77D9"/>
    <w:rsid w:val="00B139CC"/>
    <w:rsid w:val="00B332B8"/>
    <w:rsid w:val="00B57159"/>
    <w:rsid w:val="00C0011D"/>
    <w:rsid w:val="00CD1C52"/>
    <w:rsid w:val="00D1627E"/>
    <w:rsid w:val="00D17F6E"/>
    <w:rsid w:val="00D65513"/>
    <w:rsid w:val="00E3709C"/>
    <w:rsid w:val="00E404DB"/>
    <w:rsid w:val="00E71AA4"/>
    <w:rsid w:val="00F12C0C"/>
    <w:rsid w:val="00F26EF2"/>
    <w:rsid w:val="00FF59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1E41"/>
  <w15:chartTrackingRefBased/>
  <w15:docId w15:val="{95D6D5F2-73BD-4681-85F9-67531EDB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D1C"/>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29896">
      <w:bodyDiv w:val="1"/>
      <w:marLeft w:val="0"/>
      <w:marRight w:val="0"/>
      <w:marTop w:val="0"/>
      <w:marBottom w:val="0"/>
      <w:divBdr>
        <w:top w:val="none" w:sz="0" w:space="0" w:color="auto"/>
        <w:left w:val="none" w:sz="0" w:space="0" w:color="auto"/>
        <w:bottom w:val="none" w:sz="0" w:space="0" w:color="auto"/>
        <w:right w:val="none" w:sz="0" w:space="0" w:color="auto"/>
      </w:divBdr>
    </w:div>
    <w:div w:id="1765956942">
      <w:bodyDiv w:val="1"/>
      <w:marLeft w:val="0"/>
      <w:marRight w:val="0"/>
      <w:marTop w:val="0"/>
      <w:marBottom w:val="0"/>
      <w:divBdr>
        <w:top w:val="none" w:sz="0" w:space="0" w:color="auto"/>
        <w:left w:val="none" w:sz="0" w:space="0" w:color="auto"/>
        <w:bottom w:val="none" w:sz="0" w:space="0" w:color="auto"/>
        <w:right w:val="none" w:sz="0" w:space="0" w:color="auto"/>
      </w:divBdr>
      <w:divsChild>
        <w:div w:id="180971270">
          <w:marLeft w:val="0"/>
          <w:marRight w:val="0"/>
          <w:marTop w:val="0"/>
          <w:marBottom w:val="0"/>
          <w:divBdr>
            <w:top w:val="none" w:sz="0" w:space="0" w:color="auto"/>
            <w:left w:val="none" w:sz="0" w:space="0" w:color="auto"/>
            <w:bottom w:val="none" w:sz="0" w:space="0" w:color="auto"/>
            <w:right w:val="none" w:sz="0" w:space="0" w:color="auto"/>
          </w:divBdr>
        </w:div>
      </w:divsChild>
    </w:div>
    <w:div w:id="207870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1043</TotalTime>
  <Pages>5</Pages>
  <Words>1851</Words>
  <Characters>9050</Characters>
  <Application>Microsoft Office Word</Application>
  <DocSecurity>0</DocSecurity>
  <Lines>173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Johnson</dc:creator>
  <cp:keywords/>
  <dc:description/>
  <cp:lastModifiedBy>Ryan Johnson</cp:lastModifiedBy>
  <cp:revision>55</cp:revision>
  <dcterms:created xsi:type="dcterms:W3CDTF">2023-01-10T23:38:00Z</dcterms:created>
  <dcterms:modified xsi:type="dcterms:W3CDTF">2025-10-21T19:26:00Z</dcterms:modified>
</cp:coreProperties>
</file>